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3BAE9" w14:textId="6973A35D" w:rsidR="00ED258B" w:rsidRPr="00ED258B" w:rsidRDefault="00ED258B" w:rsidP="00ED258B">
      <w:pPr>
        <w:pStyle w:val="NumberedHeading1"/>
        <w:numPr>
          <w:ilvl w:val="0"/>
          <w:numId w:val="0"/>
        </w:numPr>
        <w:tabs>
          <w:tab w:val="left" w:pos="1134"/>
        </w:tabs>
        <w:spacing w:after="240"/>
        <w:rPr>
          <w:rFonts w:asciiTheme="minorHAnsi" w:hAnsiTheme="minorHAnsi" w:cs="Times New Roman"/>
          <w:bCs w:val="0"/>
          <w:color w:val="auto"/>
          <w:szCs w:val="28"/>
        </w:rPr>
      </w:pPr>
      <w:r w:rsidRPr="00ED258B">
        <w:rPr>
          <w:rFonts w:asciiTheme="minorHAnsi" w:hAnsiTheme="minorHAnsi" w:cs="Times New Roman"/>
          <w:bCs w:val="0"/>
          <w:color w:val="auto"/>
          <w:szCs w:val="28"/>
        </w:rPr>
        <w:t>Name:</w:t>
      </w:r>
      <w:r w:rsidRPr="00ED258B">
        <w:rPr>
          <w:rFonts w:asciiTheme="minorHAnsi" w:hAnsiTheme="minorHAnsi" w:cs="Times New Roman"/>
          <w:bCs w:val="0"/>
          <w:color w:val="auto"/>
          <w:szCs w:val="28"/>
        </w:rPr>
        <w:tab/>
        <w:t>[</w:t>
      </w:r>
      <w:r w:rsidRPr="00ED258B">
        <w:rPr>
          <w:rFonts w:asciiTheme="minorHAnsi" w:hAnsiTheme="minorHAnsi" w:cs="Times New Roman"/>
          <w:bCs w:val="0"/>
          <w:color w:val="auto"/>
          <w:szCs w:val="28"/>
          <w:highlight w:val="yellow"/>
        </w:rPr>
        <w:t>Insert</w:t>
      </w:r>
      <w:r w:rsidRPr="00ED258B">
        <w:rPr>
          <w:rFonts w:asciiTheme="minorHAnsi" w:hAnsiTheme="minorHAnsi" w:cs="Times New Roman"/>
          <w:bCs w:val="0"/>
          <w:color w:val="auto"/>
          <w:szCs w:val="28"/>
        </w:rPr>
        <w:t>]</w:t>
      </w:r>
    </w:p>
    <w:p w14:paraId="3E419EAA" w14:textId="035B4BED" w:rsidR="00ED258B" w:rsidRPr="00ED258B" w:rsidRDefault="00ED258B" w:rsidP="00ED258B">
      <w:pPr>
        <w:pStyle w:val="NumberedHeading1"/>
        <w:numPr>
          <w:ilvl w:val="0"/>
          <w:numId w:val="0"/>
        </w:numPr>
        <w:tabs>
          <w:tab w:val="left" w:pos="1134"/>
        </w:tabs>
        <w:spacing w:after="240"/>
        <w:rPr>
          <w:rFonts w:asciiTheme="minorHAnsi" w:hAnsiTheme="minorHAnsi" w:cs="Times New Roman"/>
          <w:bCs w:val="0"/>
          <w:color w:val="auto"/>
          <w:szCs w:val="28"/>
        </w:rPr>
      </w:pPr>
      <w:r w:rsidRPr="00ED258B">
        <w:rPr>
          <w:rFonts w:asciiTheme="minorHAnsi" w:hAnsiTheme="minorHAnsi" w:cs="Times New Roman"/>
          <w:bCs w:val="0"/>
          <w:color w:val="auto"/>
          <w:szCs w:val="28"/>
        </w:rPr>
        <w:t>Date:</w:t>
      </w:r>
      <w:r w:rsidRPr="00ED258B">
        <w:rPr>
          <w:rFonts w:asciiTheme="minorHAnsi" w:hAnsiTheme="minorHAnsi" w:cs="Times New Roman"/>
          <w:bCs w:val="0"/>
          <w:color w:val="auto"/>
          <w:szCs w:val="28"/>
        </w:rPr>
        <w:tab/>
        <w:t>[</w:t>
      </w:r>
      <w:r w:rsidRPr="00ED258B">
        <w:rPr>
          <w:rFonts w:asciiTheme="minorHAnsi" w:hAnsiTheme="minorHAnsi" w:cs="Times New Roman"/>
          <w:bCs w:val="0"/>
          <w:color w:val="auto"/>
          <w:szCs w:val="28"/>
          <w:highlight w:val="yellow"/>
        </w:rPr>
        <w:t>Insert</w:t>
      </w:r>
      <w:r w:rsidRPr="00ED258B">
        <w:rPr>
          <w:rFonts w:asciiTheme="minorHAnsi" w:hAnsiTheme="minorHAnsi" w:cs="Times New Roman"/>
          <w:bCs w:val="0"/>
          <w:color w:val="auto"/>
          <w:szCs w:val="28"/>
        </w:rPr>
        <w:t>]</w:t>
      </w:r>
    </w:p>
    <w:p w14:paraId="3CCED862" w14:textId="7D5141E2" w:rsidR="00ED258B" w:rsidRPr="00ED258B" w:rsidRDefault="00ED258B" w:rsidP="00ED258B">
      <w:pPr>
        <w:pStyle w:val="NumberedHeading1"/>
        <w:numPr>
          <w:ilvl w:val="0"/>
          <w:numId w:val="0"/>
        </w:numPr>
        <w:spacing w:after="240"/>
        <w:rPr>
          <w:rFonts w:asciiTheme="minorHAnsi" w:hAnsiTheme="minorHAnsi" w:cs="Times New Roman"/>
          <w:bCs w:val="0"/>
          <w:color w:val="auto"/>
          <w:szCs w:val="28"/>
        </w:rPr>
      </w:pPr>
      <w:r w:rsidRPr="00410D3C">
        <w:rPr>
          <w:rFonts w:asciiTheme="minorHAnsi" w:hAnsiTheme="minorHAnsi" w:cs="Times New Roman"/>
          <w:bCs w:val="0"/>
          <w:color w:val="auto"/>
          <w:szCs w:val="28"/>
          <w:highlight w:val="yellow"/>
        </w:rPr>
        <w:t>Confidential/Not confidential</w:t>
      </w:r>
    </w:p>
    <w:tbl>
      <w:tblPr>
        <w:tblStyle w:val="TableGrid"/>
        <w:tblW w:w="5000" w:type="pct"/>
        <w:tblBorders>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7280"/>
        <w:gridCol w:w="7280"/>
      </w:tblGrid>
      <w:tr w:rsidR="00C113C4" w:rsidRPr="00C113C4" w14:paraId="238371A1" w14:textId="77777777" w:rsidTr="00C113C4">
        <w:trPr>
          <w:cnfStyle w:val="100000000000" w:firstRow="1" w:lastRow="0" w:firstColumn="0" w:lastColumn="0" w:oddVBand="0" w:evenVBand="0" w:oddHBand="0" w:evenHBand="0" w:firstRowFirstColumn="0" w:firstRowLastColumn="0" w:lastRowFirstColumn="0" w:lastRowLastColumn="0"/>
          <w:cantSplit/>
          <w:tblHeader/>
        </w:trPr>
        <w:tc>
          <w:tcPr>
            <w:tcW w:w="7280" w:type="dxa"/>
            <w:tcBorders>
              <w:top w:val="single" w:sz="4" w:space="0" w:color="auto"/>
              <w:bottom w:val="single" w:sz="4" w:space="0" w:color="auto"/>
            </w:tcBorders>
            <w:shd w:val="clear" w:color="auto" w:fill="CBDDF5" w:themeFill="accent3" w:themeFillTint="33"/>
          </w:tcPr>
          <w:p w14:paraId="4750C14B" w14:textId="2C3B45D5" w:rsidR="00FF1055" w:rsidRPr="00C113C4" w:rsidRDefault="00FF1055" w:rsidP="00ED258B">
            <w:pPr>
              <w:pStyle w:val="ListBullet"/>
              <w:numPr>
                <w:ilvl w:val="0"/>
                <w:numId w:val="0"/>
              </w:numPr>
              <w:spacing w:after="0"/>
              <w:jc w:val="center"/>
              <w:rPr>
                <w:rFonts w:asciiTheme="majorHAnsi" w:hAnsiTheme="majorHAnsi" w:cs="Arial"/>
                <w:b/>
                <w:bCs/>
                <w:color w:val="0070C0"/>
                <w:sz w:val="28"/>
                <w:szCs w:val="28"/>
              </w:rPr>
            </w:pPr>
            <w:r w:rsidRPr="00C113C4">
              <w:rPr>
                <w:rFonts w:asciiTheme="majorHAnsi" w:hAnsiTheme="majorHAnsi" w:cs="Arial"/>
                <w:b/>
                <w:bCs/>
                <w:color w:val="0070C0"/>
                <w:sz w:val="32"/>
                <w:szCs w:val="32"/>
              </w:rPr>
              <w:t>Consultation Question</w:t>
            </w:r>
          </w:p>
        </w:tc>
        <w:tc>
          <w:tcPr>
            <w:tcW w:w="7280" w:type="dxa"/>
            <w:tcBorders>
              <w:top w:val="single" w:sz="4" w:space="0" w:color="auto"/>
              <w:bottom w:val="single" w:sz="4" w:space="0" w:color="auto"/>
            </w:tcBorders>
            <w:shd w:val="clear" w:color="auto" w:fill="CBDDF5" w:themeFill="accent3" w:themeFillTint="33"/>
          </w:tcPr>
          <w:p w14:paraId="00143D61" w14:textId="34ABB565" w:rsidR="00FF1055" w:rsidRPr="00C113C4" w:rsidRDefault="00D03365" w:rsidP="00ED258B">
            <w:pPr>
              <w:pStyle w:val="ListBullet"/>
              <w:numPr>
                <w:ilvl w:val="0"/>
                <w:numId w:val="0"/>
              </w:numPr>
              <w:spacing w:after="0"/>
              <w:jc w:val="center"/>
              <w:rPr>
                <w:rFonts w:asciiTheme="majorHAnsi" w:hAnsiTheme="majorHAnsi" w:cs="Arial"/>
                <w:b/>
                <w:bCs/>
                <w:color w:val="0070C0"/>
                <w:sz w:val="28"/>
                <w:szCs w:val="28"/>
              </w:rPr>
            </w:pPr>
            <w:r>
              <w:rPr>
                <w:rFonts w:asciiTheme="majorHAnsi" w:hAnsiTheme="majorHAnsi" w:cs="Arial"/>
                <w:b/>
                <w:bCs/>
                <w:color w:val="0070C0"/>
                <w:sz w:val="32"/>
                <w:szCs w:val="32"/>
              </w:rPr>
              <w:t xml:space="preserve">Our </w:t>
            </w:r>
            <w:r w:rsidR="00FF1055" w:rsidRPr="00C113C4">
              <w:rPr>
                <w:rFonts w:asciiTheme="majorHAnsi" w:hAnsiTheme="majorHAnsi" w:cs="Arial"/>
                <w:b/>
                <w:bCs/>
                <w:color w:val="0070C0"/>
                <w:sz w:val="32"/>
                <w:szCs w:val="32"/>
              </w:rPr>
              <w:t>Response</w:t>
            </w:r>
          </w:p>
        </w:tc>
      </w:tr>
      <w:tr w:rsidR="00ED258B" w:rsidRPr="002444A1" w14:paraId="3558176B" w14:textId="1B56939C" w:rsidTr="00C113C4">
        <w:trPr>
          <w:cantSplit/>
        </w:trPr>
        <w:tc>
          <w:tcPr>
            <w:tcW w:w="14560" w:type="dxa"/>
            <w:gridSpan w:val="2"/>
            <w:tcBorders>
              <w:top w:val="single" w:sz="4" w:space="0" w:color="auto"/>
            </w:tcBorders>
            <w:shd w:val="clear" w:color="auto" w:fill="F2F2F2" w:themeFill="background1" w:themeFillShade="F2"/>
          </w:tcPr>
          <w:p w14:paraId="636993CC" w14:textId="68E7441C" w:rsidR="00ED258B" w:rsidRPr="00C113C4" w:rsidRDefault="00ED258B" w:rsidP="002C0A68">
            <w:pPr>
              <w:pStyle w:val="ListBullet"/>
              <w:keepNext/>
              <w:numPr>
                <w:ilvl w:val="0"/>
                <w:numId w:val="0"/>
              </w:numPr>
              <w:spacing w:after="0"/>
              <w:rPr>
                <w:rFonts w:asciiTheme="majorHAnsi" w:hAnsiTheme="majorHAnsi" w:cs="Arial"/>
                <w:b/>
                <w:bCs/>
                <w:color w:val="0070C0"/>
                <w:sz w:val="28"/>
                <w:szCs w:val="28"/>
              </w:rPr>
            </w:pPr>
            <w:r w:rsidRPr="00C113C4">
              <w:rPr>
                <w:rFonts w:asciiTheme="majorHAnsi" w:hAnsiTheme="majorHAnsi" w:cs="Arial"/>
                <w:b/>
                <w:bCs/>
                <w:color w:val="0070C0"/>
                <w:sz w:val="24"/>
                <w:szCs w:val="24"/>
              </w:rPr>
              <w:t>2.2</w:t>
            </w:r>
            <w:r w:rsidRPr="00C113C4">
              <w:rPr>
                <w:rFonts w:asciiTheme="majorHAnsi" w:hAnsiTheme="majorHAnsi" w:cs="Arial"/>
                <w:b/>
                <w:bCs/>
                <w:color w:val="0070C0"/>
                <w:sz w:val="24"/>
                <w:szCs w:val="24"/>
              </w:rPr>
              <w:tab/>
            </w:r>
            <w:r w:rsidR="002C0A68" w:rsidRPr="002C0A68">
              <w:rPr>
                <w:rFonts w:asciiTheme="majorHAnsi" w:hAnsiTheme="majorHAnsi" w:cs="Arial"/>
                <w:b/>
                <w:bCs/>
                <w:color w:val="0070C0"/>
                <w:sz w:val="24"/>
                <w:szCs w:val="24"/>
              </w:rPr>
              <w:t>Some threshold rule issues</w:t>
            </w:r>
            <w:r w:rsidR="002C0A68" w:rsidRPr="00C113C4">
              <w:rPr>
                <w:rFonts w:asciiTheme="majorHAnsi" w:hAnsiTheme="majorHAnsi" w:cs="Arial"/>
                <w:b/>
                <w:bCs/>
                <w:color w:val="0070C0"/>
                <w:sz w:val="24"/>
                <w:szCs w:val="24"/>
              </w:rPr>
              <w:t xml:space="preserve"> </w:t>
            </w:r>
            <w:r w:rsidR="002C0A68">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Why three separate rule books?</w:t>
            </w:r>
          </w:p>
        </w:tc>
      </w:tr>
      <w:tr w:rsidR="00FF1055" w:rsidRPr="002444A1" w14:paraId="16321F4A" w14:textId="34D7660E" w:rsidTr="00410D3C">
        <w:trPr>
          <w:cantSplit/>
        </w:trPr>
        <w:tc>
          <w:tcPr>
            <w:tcW w:w="7280" w:type="dxa"/>
          </w:tcPr>
          <w:p w14:paraId="2813AF20" w14:textId="060C07D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w:t>
            </w:r>
            <w:r>
              <w:rPr>
                <w:rFonts w:asciiTheme="minorHAnsi" w:eastAsiaTheme="minorHAnsi" w:hAnsiTheme="minorHAnsi"/>
                <w:b/>
                <w:color w:val="009FDF" w:themeColor="accent2"/>
                <w:spacing w:val="-1"/>
                <w:sz w:val="22"/>
                <w:szCs w:val="20"/>
              </w:rPr>
              <w:t>2.2</w:t>
            </w:r>
            <w:r w:rsidRPr="002444A1">
              <w:rPr>
                <w:rFonts w:asciiTheme="minorHAnsi" w:eastAsiaTheme="minorHAnsi" w:hAnsiTheme="minorHAnsi"/>
                <w:b/>
                <w:color w:val="009FDF" w:themeColor="accent2"/>
                <w:spacing w:val="-1"/>
                <w:sz w:val="22"/>
                <w:szCs w:val="20"/>
              </w:rPr>
              <w:t>.1:</w:t>
            </w:r>
            <w:r w:rsidRPr="002444A1">
              <w:rPr>
                <w:rFonts w:asciiTheme="minorHAnsi" w:eastAsiaTheme="minorHAnsi" w:hAnsiTheme="minorHAnsi"/>
                <w:spacing w:val="-1"/>
                <w:sz w:val="22"/>
                <w:szCs w:val="20"/>
              </w:rPr>
              <w:t xml:space="preserve"> Would you have any concerns if ASX were to combine the ASX AQUA Rules and Warrant Rules into a single rule book governing non-listed Investment Products? If so, what are they</w:t>
            </w:r>
            <w:r w:rsidRPr="002444A1" w:rsidDel="00BA6EF0">
              <w:rPr>
                <w:rFonts w:asciiTheme="minorHAnsi" w:eastAsiaTheme="minorHAnsi" w:hAnsiTheme="minorHAnsi"/>
                <w:spacing w:val="-1"/>
                <w:sz w:val="22"/>
                <w:szCs w:val="20"/>
              </w:rPr>
              <w:t xml:space="preserve"> </w:t>
            </w:r>
            <w:r w:rsidRPr="002444A1">
              <w:rPr>
                <w:rFonts w:asciiTheme="minorHAnsi" w:eastAsiaTheme="minorHAnsi" w:hAnsiTheme="minorHAnsi"/>
                <w:spacing w:val="-1"/>
                <w:sz w:val="22"/>
                <w:szCs w:val="20"/>
              </w:rPr>
              <w:t>and how might they be addressed?</w:t>
            </w:r>
          </w:p>
        </w:tc>
        <w:tc>
          <w:tcPr>
            <w:tcW w:w="7280" w:type="dxa"/>
          </w:tcPr>
          <w:p w14:paraId="7058CCDA" w14:textId="3DE483F3" w:rsidR="00FF1055" w:rsidRPr="00E35C89" w:rsidRDefault="00FF1055"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672EB1F" w14:textId="7777777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E50C20C" w14:textId="41B2DB67" w:rsidTr="00410D3C">
        <w:trPr>
          <w:cantSplit/>
        </w:trPr>
        <w:tc>
          <w:tcPr>
            <w:tcW w:w="7280" w:type="dxa"/>
          </w:tcPr>
          <w:p w14:paraId="1BE72A5C" w14:textId="20AB8BF2"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w:t>
            </w:r>
            <w:r>
              <w:rPr>
                <w:rFonts w:asciiTheme="minorHAnsi" w:eastAsiaTheme="minorHAnsi" w:hAnsiTheme="minorHAnsi"/>
                <w:b/>
                <w:color w:val="009FDF" w:themeColor="accent2"/>
                <w:spacing w:val="-1"/>
                <w:sz w:val="22"/>
                <w:szCs w:val="20"/>
              </w:rPr>
              <w:t>2.2</w:t>
            </w:r>
            <w:r w:rsidRPr="002444A1">
              <w:rPr>
                <w:rFonts w:asciiTheme="minorHAnsi" w:eastAsiaTheme="minorHAnsi" w:hAnsiTheme="minorHAnsi"/>
                <w:b/>
                <w:color w:val="009FDF" w:themeColor="accent2"/>
                <w:spacing w:val="-1"/>
                <w:sz w:val="22"/>
                <w:szCs w:val="20"/>
              </w:rPr>
              <w:t>.2:</w:t>
            </w:r>
            <w:r w:rsidRPr="002444A1">
              <w:rPr>
                <w:rFonts w:asciiTheme="minorHAnsi" w:eastAsiaTheme="minorHAnsi" w:hAnsiTheme="minorHAnsi"/>
                <w:color w:val="009FDF" w:themeColor="accent2"/>
                <w:spacing w:val="-1"/>
                <w:sz w:val="22"/>
                <w:szCs w:val="20"/>
              </w:rPr>
              <w:t xml:space="preserve"> </w:t>
            </w:r>
            <w:r w:rsidRPr="002444A1">
              <w:rPr>
                <w:rFonts w:asciiTheme="minorHAnsi" w:eastAsiaTheme="minorHAnsi" w:hAnsiTheme="minorHAnsi"/>
                <w:spacing w:val="-1"/>
                <w:sz w:val="22"/>
                <w:szCs w:val="20"/>
              </w:rPr>
              <w:t xml:space="preserve">If the ASX AQUA Rules and Warrant Rules are combined into a single rule book governing non-listed Investment Products, would you have any concerns if ASX were to make Warrants a </w:t>
            </w:r>
            <w:r w:rsidRPr="002444A1">
              <w:rPr>
                <w:rFonts w:asciiTheme="minorHAnsi" w:hAnsiTheme="minorHAnsi" w:cstheme="minorHAnsi"/>
                <w:sz w:val="22"/>
                <w:szCs w:val="22"/>
              </w:rPr>
              <w:t>sub-category of ETSPs</w:t>
            </w:r>
            <w:r w:rsidRPr="002444A1">
              <w:rPr>
                <w:rFonts w:asciiTheme="minorHAnsi" w:eastAsiaTheme="minorHAnsi" w:hAnsiTheme="minorHAnsi"/>
                <w:spacing w:val="-1"/>
                <w:sz w:val="22"/>
                <w:szCs w:val="20"/>
              </w:rPr>
              <w:t>? If so, what are those concerns?</w:t>
            </w:r>
          </w:p>
        </w:tc>
        <w:tc>
          <w:tcPr>
            <w:tcW w:w="7280" w:type="dxa"/>
          </w:tcPr>
          <w:p w14:paraId="492B543F" w14:textId="77777777" w:rsidR="000E4D39" w:rsidRPr="00E35C89" w:rsidRDefault="00FF1055"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597E1C7" w14:textId="554EC01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3519CDE" w14:textId="2EBD3D3A" w:rsidTr="00410D3C">
        <w:trPr>
          <w:cantSplit/>
        </w:trPr>
        <w:tc>
          <w:tcPr>
            <w:tcW w:w="7280" w:type="dxa"/>
          </w:tcPr>
          <w:p w14:paraId="4B3109CB" w14:textId="0D8F13D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w:t>
            </w:r>
            <w:r>
              <w:rPr>
                <w:rFonts w:asciiTheme="minorHAnsi" w:eastAsiaTheme="minorHAnsi" w:hAnsiTheme="minorHAnsi"/>
                <w:b/>
                <w:color w:val="009FDF" w:themeColor="accent2"/>
                <w:spacing w:val="-1"/>
                <w:sz w:val="22"/>
                <w:szCs w:val="20"/>
              </w:rPr>
              <w:t>2.2</w:t>
            </w:r>
            <w:r w:rsidRPr="002444A1">
              <w:rPr>
                <w:rFonts w:asciiTheme="minorHAnsi" w:eastAsiaTheme="minorHAnsi" w:hAnsiTheme="minorHAnsi"/>
                <w:b/>
                <w:color w:val="009FDF" w:themeColor="accent2"/>
                <w:spacing w:val="-1"/>
                <w:sz w:val="22"/>
                <w:szCs w:val="20"/>
              </w:rPr>
              <w:t>.3:</w:t>
            </w:r>
            <w:r w:rsidRPr="002444A1">
              <w:rPr>
                <w:rFonts w:asciiTheme="minorHAnsi" w:eastAsiaTheme="minorHAnsi" w:hAnsiTheme="minorHAnsi"/>
                <w:spacing w:val="-1"/>
                <w:sz w:val="22"/>
                <w:szCs w:val="20"/>
              </w:rPr>
              <w:t xml:space="preserve"> Do you see any benefit or value in maintaining the name “AQUA” as part of the ASX Investment Product rule framework? Does it have any currency with investors?</w:t>
            </w:r>
          </w:p>
        </w:tc>
        <w:tc>
          <w:tcPr>
            <w:tcW w:w="7280" w:type="dxa"/>
          </w:tcPr>
          <w:p w14:paraId="3A8F9147" w14:textId="77777777" w:rsidR="000E4D39" w:rsidRPr="00E35C89" w:rsidRDefault="00FF1055"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CE29ACF" w14:textId="4FF30EE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33207F8" w14:textId="0C59CEA5" w:rsidTr="00C113C4">
        <w:trPr>
          <w:cantSplit/>
        </w:trPr>
        <w:tc>
          <w:tcPr>
            <w:tcW w:w="14560" w:type="dxa"/>
            <w:gridSpan w:val="2"/>
            <w:shd w:val="clear" w:color="auto" w:fill="F2F2F2" w:themeFill="background1" w:themeFillShade="F2"/>
          </w:tcPr>
          <w:p w14:paraId="6C594271" w14:textId="65576F09" w:rsidR="003D6706" w:rsidRPr="00C113C4" w:rsidRDefault="003D6706" w:rsidP="002C0A68">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2.3</w:t>
            </w:r>
            <w:r w:rsidRPr="00C113C4">
              <w:rPr>
                <w:rFonts w:asciiTheme="majorHAnsi" w:hAnsiTheme="majorHAnsi" w:cs="Arial"/>
                <w:b/>
                <w:bCs/>
                <w:color w:val="0070C0"/>
                <w:sz w:val="24"/>
                <w:szCs w:val="24"/>
              </w:rPr>
              <w:tab/>
            </w:r>
            <w:r w:rsidR="002C0A68" w:rsidRPr="002C0A68">
              <w:rPr>
                <w:rFonts w:asciiTheme="majorHAnsi" w:hAnsiTheme="majorHAnsi" w:cs="Arial"/>
                <w:b/>
                <w:bCs/>
                <w:color w:val="0070C0"/>
                <w:sz w:val="24"/>
                <w:szCs w:val="24"/>
              </w:rPr>
              <w:t>Some threshold rule issues</w:t>
            </w:r>
            <w:r w:rsidR="002C0A68" w:rsidRPr="00C113C4">
              <w:rPr>
                <w:rFonts w:asciiTheme="majorHAnsi" w:hAnsiTheme="majorHAnsi" w:cs="Arial"/>
                <w:b/>
                <w:bCs/>
                <w:color w:val="0070C0"/>
                <w:sz w:val="24"/>
                <w:szCs w:val="24"/>
              </w:rPr>
              <w:t xml:space="preserve"> </w:t>
            </w:r>
            <w:r w:rsidR="002C0A68">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 xml:space="preserve">The </w:t>
            </w:r>
            <w:r w:rsidR="002C0A68">
              <w:rPr>
                <w:rFonts w:asciiTheme="majorHAnsi" w:hAnsiTheme="majorHAnsi" w:cs="Arial"/>
                <w:b/>
                <w:bCs/>
                <w:color w:val="0070C0"/>
                <w:sz w:val="24"/>
                <w:szCs w:val="24"/>
              </w:rPr>
              <w:t>treatment</w:t>
            </w:r>
            <w:r w:rsidRPr="00C113C4">
              <w:rPr>
                <w:rFonts w:asciiTheme="majorHAnsi" w:hAnsiTheme="majorHAnsi" w:cs="Arial"/>
                <w:b/>
                <w:bCs/>
                <w:color w:val="0070C0"/>
                <w:sz w:val="24"/>
                <w:szCs w:val="24"/>
              </w:rPr>
              <w:t xml:space="preserve"> of LICs and LITs under the Listing Rules</w:t>
            </w:r>
          </w:p>
        </w:tc>
      </w:tr>
      <w:tr w:rsidR="00FF1055" w:rsidRPr="002444A1" w14:paraId="53B61331" w14:textId="3756D33A" w:rsidTr="00410D3C">
        <w:trPr>
          <w:cantSplit/>
        </w:trPr>
        <w:tc>
          <w:tcPr>
            <w:tcW w:w="7280" w:type="dxa"/>
          </w:tcPr>
          <w:p w14:paraId="71689201" w14:textId="43CE25AA"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w:t>
            </w:r>
            <w:r>
              <w:rPr>
                <w:rFonts w:asciiTheme="minorHAnsi" w:eastAsiaTheme="minorHAnsi" w:hAnsiTheme="minorHAnsi"/>
                <w:b/>
                <w:color w:val="009FDF" w:themeColor="accent2"/>
                <w:spacing w:val="-1"/>
                <w:sz w:val="22"/>
                <w:szCs w:val="20"/>
              </w:rPr>
              <w:t>2.3</w:t>
            </w:r>
            <w:r w:rsidRPr="002444A1">
              <w:rPr>
                <w:rFonts w:asciiTheme="minorHAnsi" w:eastAsiaTheme="minorHAnsi" w:hAnsiTheme="minorHAnsi"/>
                <w:b/>
                <w:color w:val="009FDF" w:themeColor="accent2"/>
                <w:spacing w:val="-1"/>
                <w:sz w:val="22"/>
                <w:szCs w:val="20"/>
              </w:rPr>
              <w:t>.1:</w:t>
            </w:r>
            <w:r w:rsidRPr="002444A1">
              <w:rPr>
                <w:rFonts w:asciiTheme="minorHAnsi" w:eastAsiaTheme="minorHAnsi" w:hAnsiTheme="minorHAnsi"/>
                <w:spacing w:val="-1"/>
                <w:sz w:val="22"/>
                <w:szCs w:val="20"/>
              </w:rPr>
              <w:t xml:space="preserve"> Do you support the proposed new definition of “financial investment entity” set out in the consultation paper. If not, why not and how would you define this term?</w:t>
            </w:r>
          </w:p>
        </w:tc>
        <w:tc>
          <w:tcPr>
            <w:tcW w:w="7280" w:type="dxa"/>
          </w:tcPr>
          <w:p w14:paraId="53CC45EC" w14:textId="77777777" w:rsidR="000E4D39" w:rsidRPr="00E35C89" w:rsidRDefault="00FF1055"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8F21A62" w14:textId="0F65E9F0"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71B7674" w14:textId="1AEAF1ED" w:rsidTr="00C113C4">
        <w:trPr>
          <w:cantSplit/>
        </w:trPr>
        <w:tc>
          <w:tcPr>
            <w:tcW w:w="14560" w:type="dxa"/>
            <w:gridSpan w:val="2"/>
            <w:shd w:val="clear" w:color="auto" w:fill="F2F2F2" w:themeFill="background1" w:themeFillShade="F2"/>
          </w:tcPr>
          <w:p w14:paraId="424FE026" w14:textId="26BBDC9E" w:rsidR="003D6706" w:rsidRPr="00C113C4" w:rsidRDefault="003D6706" w:rsidP="002C0A68">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2.4</w:t>
            </w:r>
            <w:r w:rsidRPr="00C113C4">
              <w:rPr>
                <w:rFonts w:asciiTheme="majorHAnsi" w:hAnsiTheme="majorHAnsi" w:cs="Arial"/>
                <w:b/>
                <w:bCs/>
                <w:color w:val="0070C0"/>
                <w:sz w:val="24"/>
                <w:szCs w:val="24"/>
              </w:rPr>
              <w:tab/>
            </w:r>
            <w:r w:rsidR="002C0A68" w:rsidRPr="002C0A68">
              <w:rPr>
                <w:rFonts w:asciiTheme="majorHAnsi" w:hAnsiTheme="majorHAnsi" w:cs="Arial"/>
                <w:b/>
                <w:bCs/>
                <w:color w:val="0070C0"/>
                <w:sz w:val="24"/>
                <w:szCs w:val="24"/>
              </w:rPr>
              <w:t>Some threshold rule issues</w:t>
            </w:r>
            <w:r w:rsidR="002C0A68" w:rsidRPr="00C113C4">
              <w:rPr>
                <w:rFonts w:asciiTheme="majorHAnsi" w:hAnsiTheme="majorHAnsi" w:cs="Arial"/>
                <w:b/>
                <w:bCs/>
                <w:color w:val="0070C0"/>
                <w:sz w:val="24"/>
                <w:szCs w:val="24"/>
              </w:rPr>
              <w:t xml:space="preserve"> </w:t>
            </w:r>
            <w:r w:rsidR="002C0A68">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 xml:space="preserve">The </w:t>
            </w:r>
            <w:r w:rsidR="002C0A68">
              <w:rPr>
                <w:rFonts w:asciiTheme="majorHAnsi" w:hAnsiTheme="majorHAnsi" w:cs="Arial"/>
                <w:b/>
                <w:bCs/>
                <w:color w:val="0070C0"/>
                <w:sz w:val="24"/>
                <w:szCs w:val="24"/>
              </w:rPr>
              <w:t>treatment</w:t>
            </w:r>
            <w:r w:rsidRPr="00C113C4">
              <w:rPr>
                <w:rFonts w:asciiTheme="majorHAnsi" w:hAnsiTheme="majorHAnsi" w:cs="Arial"/>
                <w:b/>
                <w:bCs/>
                <w:color w:val="0070C0"/>
                <w:sz w:val="24"/>
                <w:szCs w:val="24"/>
              </w:rPr>
              <w:t xml:space="preserve"> of REITs and IFs under the Listing Rules</w:t>
            </w:r>
          </w:p>
        </w:tc>
      </w:tr>
      <w:tr w:rsidR="00FF1055" w:rsidRPr="002444A1" w14:paraId="153ED3A3" w14:textId="0D56DD7C" w:rsidTr="00410D3C">
        <w:trPr>
          <w:cantSplit/>
        </w:trPr>
        <w:tc>
          <w:tcPr>
            <w:tcW w:w="7280" w:type="dxa"/>
          </w:tcPr>
          <w:p w14:paraId="039C10D8" w14:textId="5DFE8C15"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2.4.1:</w:t>
            </w:r>
            <w:r w:rsidRPr="002444A1">
              <w:rPr>
                <w:rFonts w:asciiTheme="minorHAnsi" w:eastAsiaTheme="minorHAnsi" w:hAnsiTheme="minorHAnsi"/>
                <w:spacing w:val="-1"/>
                <w:sz w:val="22"/>
                <w:szCs w:val="20"/>
              </w:rPr>
              <w:t xml:space="preserve"> Should REITs and IFs be formally recognised in the Listing Rules as separate categories of listed investment vehicles? If not, why not?</w:t>
            </w:r>
          </w:p>
        </w:tc>
        <w:tc>
          <w:tcPr>
            <w:tcW w:w="7280" w:type="dxa"/>
          </w:tcPr>
          <w:p w14:paraId="59823D44"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87BA30E" w14:textId="0AF44EDD"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8089CC3" w14:textId="1A2B3518" w:rsidTr="00410D3C">
        <w:trPr>
          <w:cantSplit/>
        </w:trPr>
        <w:tc>
          <w:tcPr>
            <w:tcW w:w="7280" w:type="dxa"/>
          </w:tcPr>
          <w:p w14:paraId="2649CB4A" w14:textId="7D560FEF"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lastRenderedPageBreak/>
              <w:t>Question 2.4.2:</w:t>
            </w:r>
            <w:r w:rsidRPr="002444A1">
              <w:rPr>
                <w:rFonts w:asciiTheme="minorHAnsi" w:eastAsiaTheme="minorHAnsi" w:hAnsiTheme="minorHAnsi"/>
                <w:spacing w:val="-1"/>
                <w:sz w:val="22"/>
                <w:szCs w:val="20"/>
              </w:rPr>
              <w:t xml:space="preserve"> Do you support the proposed new definitions of “real estate investment entity” and “infrastructure investment entity” set out in the consultation paper. If not, why not and how would you define these terms?</w:t>
            </w:r>
          </w:p>
        </w:tc>
        <w:tc>
          <w:tcPr>
            <w:tcW w:w="7280" w:type="dxa"/>
          </w:tcPr>
          <w:p w14:paraId="3B4640AC"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6A08781" w14:textId="16E71CBD"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3AD273DE" w14:textId="577B12AA" w:rsidTr="00C113C4">
        <w:trPr>
          <w:cantSplit/>
        </w:trPr>
        <w:tc>
          <w:tcPr>
            <w:tcW w:w="14560" w:type="dxa"/>
            <w:gridSpan w:val="2"/>
            <w:shd w:val="clear" w:color="auto" w:fill="F2F2F2" w:themeFill="background1" w:themeFillShade="F2"/>
          </w:tcPr>
          <w:p w14:paraId="2787E371" w14:textId="6B33C069" w:rsidR="003D6706" w:rsidRPr="00C113C4" w:rsidRDefault="003D6706"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2.5</w:t>
            </w:r>
            <w:r w:rsidRPr="00C113C4">
              <w:rPr>
                <w:rFonts w:asciiTheme="majorHAnsi" w:hAnsiTheme="majorHAnsi" w:cs="Arial"/>
                <w:b/>
                <w:bCs/>
                <w:color w:val="0070C0"/>
                <w:sz w:val="24"/>
                <w:szCs w:val="24"/>
              </w:rPr>
              <w:tab/>
            </w:r>
            <w:r w:rsidR="002C0A68" w:rsidRPr="002C0A68">
              <w:rPr>
                <w:rFonts w:asciiTheme="majorHAnsi" w:hAnsiTheme="majorHAnsi" w:cs="Arial"/>
                <w:b/>
                <w:bCs/>
                <w:color w:val="0070C0"/>
                <w:sz w:val="24"/>
                <w:szCs w:val="24"/>
              </w:rPr>
              <w:t>Some threshold rule issues</w:t>
            </w:r>
            <w:r w:rsidR="002C0A68" w:rsidRPr="00C113C4">
              <w:rPr>
                <w:rFonts w:asciiTheme="majorHAnsi" w:hAnsiTheme="majorHAnsi" w:cs="Arial"/>
                <w:b/>
                <w:bCs/>
                <w:color w:val="0070C0"/>
                <w:sz w:val="24"/>
                <w:szCs w:val="24"/>
              </w:rPr>
              <w:t xml:space="preserve"> </w:t>
            </w:r>
            <w:r w:rsidR="002C0A68">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Towards a more aligned rule framework for Investment Products</w:t>
            </w:r>
          </w:p>
        </w:tc>
      </w:tr>
      <w:tr w:rsidR="00FF1055" w:rsidRPr="002444A1" w14:paraId="2B13A524" w14:textId="232D3E2B" w:rsidTr="00410D3C">
        <w:trPr>
          <w:cantSplit/>
        </w:trPr>
        <w:tc>
          <w:tcPr>
            <w:tcW w:w="7280" w:type="dxa"/>
          </w:tcPr>
          <w:p w14:paraId="36B3CEDC" w14:textId="3CC0E5EC"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2.5.1:</w:t>
            </w:r>
            <w:r w:rsidRPr="002444A1">
              <w:rPr>
                <w:rFonts w:asciiTheme="minorHAnsi" w:eastAsiaTheme="minorHAnsi" w:hAnsiTheme="minorHAnsi"/>
                <w:spacing w:val="-1"/>
                <w:sz w:val="22"/>
                <w:szCs w:val="20"/>
              </w:rPr>
              <w:t xml:space="preserve"> Do you support the proposed new definition of “collective investment entity” set out in the consultation paper. If not, why not and how would you define this term?</w:t>
            </w:r>
          </w:p>
        </w:tc>
        <w:tc>
          <w:tcPr>
            <w:tcW w:w="7280" w:type="dxa"/>
          </w:tcPr>
          <w:p w14:paraId="60655B27"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9B6C27A" w14:textId="7F89B15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0FAC1CF" w14:textId="134F8768" w:rsidTr="00410D3C">
        <w:trPr>
          <w:cantSplit/>
        </w:trPr>
        <w:tc>
          <w:tcPr>
            <w:tcW w:w="7280" w:type="dxa"/>
          </w:tcPr>
          <w:p w14:paraId="2BB31A0A" w14:textId="1A4B5215"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2.5.2:</w:t>
            </w:r>
            <w:r w:rsidRPr="002444A1">
              <w:rPr>
                <w:rFonts w:asciiTheme="minorHAnsi" w:eastAsiaTheme="minorHAnsi" w:hAnsiTheme="minorHAnsi"/>
                <w:spacing w:val="-1"/>
                <w:sz w:val="22"/>
                <w:szCs w:val="20"/>
              </w:rPr>
              <w:t xml:space="preserve"> Are there other types of entities, apart from LICs, LITs, REITs and IFs, that should be formally recognised in the Listing Rules as separate categories of collective investment entities so that some or all of the specific Listing Rules that are proposed to apply collectively to LICs, LITs, REITS and IFs also apply to them?</w:t>
            </w:r>
          </w:p>
        </w:tc>
        <w:tc>
          <w:tcPr>
            <w:tcW w:w="7280" w:type="dxa"/>
          </w:tcPr>
          <w:p w14:paraId="53EF62D3"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D0A6663" w14:textId="45EDEECF"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6DC247FB" w14:textId="4306DA5A" w:rsidTr="00C113C4">
        <w:trPr>
          <w:cantSplit/>
        </w:trPr>
        <w:tc>
          <w:tcPr>
            <w:tcW w:w="14560" w:type="dxa"/>
            <w:gridSpan w:val="2"/>
            <w:shd w:val="clear" w:color="auto" w:fill="F2F2F2" w:themeFill="background1" w:themeFillShade="F2"/>
          </w:tcPr>
          <w:p w14:paraId="78F3883B" w14:textId="21EFB0B3" w:rsidR="003D6706" w:rsidRPr="00C113C4" w:rsidRDefault="003D6706"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2.6</w:t>
            </w:r>
            <w:r w:rsidRPr="00C113C4">
              <w:rPr>
                <w:rFonts w:asciiTheme="majorHAnsi" w:hAnsiTheme="majorHAnsi" w:cs="Arial"/>
                <w:b/>
                <w:bCs/>
                <w:color w:val="0070C0"/>
                <w:sz w:val="24"/>
                <w:szCs w:val="24"/>
              </w:rPr>
              <w:tab/>
            </w:r>
            <w:r w:rsidR="002C0A68" w:rsidRPr="002C0A68">
              <w:rPr>
                <w:rFonts w:asciiTheme="majorHAnsi" w:hAnsiTheme="majorHAnsi" w:cs="Arial"/>
                <w:b/>
                <w:bCs/>
                <w:color w:val="0070C0"/>
                <w:sz w:val="24"/>
                <w:szCs w:val="24"/>
              </w:rPr>
              <w:t>Some threshold rule issues</w:t>
            </w:r>
            <w:r w:rsidR="002C0A68" w:rsidRPr="00C113C4">
              <w:rPr>
                <w:rFonts w:asciiTheme="majorHAnsi" w:hAnsiTheme="majorHAnsi" w:cs="Arial"/>
                <w:b/>
                <w:bCs/>
                <w:color w:val="0070C0"/>
                <w:sz w:val="24"/>
                <w:szCs w:val="24"/>
              </w:rPr>
              <w:t xml:space="preserve"> </w:t>
            </w:r>
            <w:r w:rsidR="002C0A68">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Issues with the current definition of “investment entity” in the Listing Rules</w:t>
            </w:r>
          </w:p>
        </w:tc>
      </w:tr>
      <w:tr w:rsidR="00FF1055" w:rsidRPr="002444A1" w14:paraId="118594F6" w14:textId="31BE41F6" w:rsidTr="00410D3C">
        <w:trPr>
          <w:cantSplit/>
        </w:trPr>
        <w:tc>
          <w:tcPr>
            <w:tcW w:w="7280" w:type="dxa"/>
          </w:tcPr>
          <w:p w14:paraId="515052CE" w14:textId="0E65731A"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2.6.1:</w:t>
            </w:r>
            <w:r w:rsidRPr="002444A1">
              <w:rPr>
                <w:rFonts w:asciiTheme="minorHAnsi" w:eastAsiaTheme="minorHAnsi" w:hAnsiTheme="minorHAnsi"/>
                <w:spacing w:val="-1"/>
                <w:sz w:val="22"/>
                <w:szCs w:val="20"/>
              </w:rPr>
              <w:t xml:space="preserve"> Do you think that the terms “LIC” and “LIT” have a particular connotation for retail investors? If so, what is that connotation and what ramifications does that have for the definition of “investment entity” in the Listing Rules?</w:t>
            </w:r>
          </w:p>
        </w:tc>
        <w:tc>
          <w:tcPr>
            <w:tcW w:w="7280" w:type="dxa"/>
          </w:tcPr>
          <w:p w14:paraId="54940A00"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AF53E06" w14:textId="415AD46C"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2451CD08" w14:textId="5D596D34" w:rsidTr="00410D3C">
        <w:trPr>
          <w:cantSplit/>
        </w:trPr>
        <w:tc>
          <w:tcPr>
            <w:tcW w:w="7280" w:type="dxa"/>
          </w:tcPr>
          <w:p w14:paraId="4CB058F7" w14:textId="59498F31"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2.6.2:</w:t>
            </w:r>
            <w:r w:rsidRPr="002444A1">
              <w:rPr>
                <w:rFonts w:asciiTheme="minorHAnsi" w:eastAsiaTheme="minorHAnsi" w:hAnsiTheme="minorHAnsi" w:cstheme="minorHAnsi"/>
                <w:spacing w:val="-1"/>
                <w:sz w:val="22"/>
                <w:szCs w:val="22"/>
              </w:rPr>
              <w:t xml:space="preserve"> If the current rule framework for investment entities in the Listing Rules is retained, should the definition of “investment entity” be narrower and more specific about the types of securities and derivatives in which the entity can invest? If so, what types of securities and derivatives should LICs and LITs be limited to investing in? Alternatively, should the definition of “investment entity” be broader and allow the entity to invest in a wider class of financial assets than just securities or derivatives? If so, what additional classes of financial assets should LICs and LITs be allowed to invest in?</w:t>
            </w:r>
          </w:p>
        </w:tc>
        <w:tc>
          <w:tcPr>
            <w:tcW w:w="7280" w:type="dxa"/>
          </w:tcPr>
          <w:p w14:paraId="62092D16"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ABF5C00" w14:textId="77D2836F"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5B54DEF8" w14:textId="2A394C5C" w:rsidTr="00410D3C">
        <w:trPr>
          <w:cantSplit/>
        </w:trPr>
        <w:tc>
          <w:tcPr>
            <w:tcW w:w="7280" w:type="dxa"/>
          </w:tcPr>
          <w:p w14:paraId="71336274" w14:textId="6F7F7D30"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lastRenderedPageBreak/>
              <w:t>Question 2.6.3:</w:t>
            </w:r>
            <w:r w:rsidRPr="002444A1">
              <w:rPr>
                <w:rFonts w:asciiTheme="minorHAnsi" w:eastAsiaTheme="minorHAnsi" w:hAnsiTheme="minorHAnsi" w:cstheme="minorHAnsi"/>
                <w:spacing w:val="-1"/>
                <w:sz w:val="22"/>
                <w:szCs w:val="22"/>
              </w:rPr>
              <w:t xml:space="preserve"> If the current rule framework for investment entities in the Listing Rules is retained, should </w:t>
            </w:r>
            <w:r w:rsidRPr="002444A1">
              <w:rPr>
                <w:rFonts w:asciiTheme="minorHAnsi" w:eastAsiaTheme="minorHAnsi" w:hAnsiTheme="minorHAnsi"/>
                <w:spacing w:val="-1"/>
                <w:sz w:val="22"/>
                <w:szCs w:val="20"/>
              </w:rPr>
              <w:t xml:space="preserve">there be any constraints on the ability of </w:t>
            </w:r>
            <w:r w:rsidRPr="002444A1">
              <w:rPr>
                <w:rFonts w:asciiTheme="minorHAnsi" w:eastAsiaTheme="minorHAnsi" w:hAnsiTheme="minorHAnsi" w:cstheme="minorHAnsi"/>
                <w:spacing w:val="-1"/>
                <w:sz w:val="22"/>
                <w:szCs w:val="22"/>
              </w:rPr>
              <w:t xml:space="preserve">a LIC or LIT to invest in securities in an unlisted company or in OTC derivatives, given the capacity that opens for them to invest in any class of </w:t>
            </w:r>
            <w:r w:rsidRPr="002444A1">
              <w:rPr>
                <w:rFonts w:asciiTheme="minorHAnsi" w:eastAsiaTheme="minorHAnsi" w:hAnsiTheme="minorHAnsi"/>
                <w:spacing w:val="-1"/>
                <w:sz w:val="22"/>
                <w:szCs w:val="20"/>
              </w:rPr>
              <w:t xml:space="preserve">underlying </w:t>
            </w:r>
            <w:r w:rsidRPr="002444A1">
              <w:rPr>
                <w:rFonts w:asciiTheme="minorHAnsi" w:eastAsiaTheme="minorHAnsi" w:hAnsiTheme="minorHAnsi" w:cstheme="minorHAnsi"/>
                <w:spacing w:val="-1"/>
                <w:sz w:val="22"/>
                <w:szCs w:val="22"/>
              </w:rPr>
              <w:t>asset?</w:t>
            </w:r>
            <w:r w:rsidRPr="002444A1">
              <w:rPr>
                <w:rFonts w:asciiTheme="minorHAnsi" w:eastAsiaTheme="minorHAnsi" w:hAnsiTheme="minorHAnsi"/>
                <w:spacing w:val="-1"/>
                <w:sz w:val="22"/>
                <w:szCs w:val="20"/>
              </w:rPr>
              <w:t xml:space="preserve"> If so, what should those constraints be? If not, why not?</w:t>
            </w:r>
          </w:p>
        </w:tc>
        <w:tc>
          <w:tcPr>
            <w:tcW w:w="7280" w:type="dxa"/>
          </w:tcPr>
          <w:p w14:paraId="6FE1E63E"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3332F86" w14:textId="2E8999E6"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6BB460B2" w14:textId="0DB31A2C" w:rsidTr="00410D3C">
        <w:trPr>
          <w:cantSplit/>
        </w:trPr>
        <w:tc>
          <w:tcPr>
            <w:tcW w:w="7280" w:type="dxa"/>
          </w:tcPr>
          <w:p w14:paraId="61FAC069" w14:textId="32D8315A"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2.6.4:</w:t>
            </w:r>
            <w:r w:rsidRPr="002444A1">
              <w:rPr>
                <w:rFonts w:asciiTheme="minorHAnsi" w:eastAsiaTheme="minorHAnsi" w:hAnsiTheme="minorHAnsi" w:cstheme="minorHAnsi"/>
                <w:spacing w:val="-1"/>
                <w:sz w:val="22"/>
                <w:szCs w:val="22"/>
              </w:rPr>
              <w:t xml:space="preserve"> If the current rule framework for investment entities in the Listing Rules is retained, should the definition of “investment entity” continue to exclude an entity that has an objective of exercising control over or managing any entity, or the business of any entity, in which it invests? If so, why? If not, why not?</w:t>
            </w:r>
          </w:p>
        </w:tc>
        <w:tc>
          <w:tcPr>
            <w:tcW w:w="7280" w:type="dxa"/>
          </w:tcPr>
          <w:p w14:paraId="4A8E93AE"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AFFD271" w14:textId="746E67BC"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640422D" w14:textId="33390554" w:rsidTr="00410D3C">
        <w:trPr>
          <w:cantSplit/>
        </w:trPr>
        <w:tc>
          <w:tcPr>
            <w:tcW w:w="7280" w:type="dxa"/>
          </w:tcPr>
          <w:p w14:paraId="01EE83BB" w14:textId="2A76AA73"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2.6.5:</w:t>
            </w:r>
            <w:r w:rsidRPr="002444A1">
              <w:rPr>
                <w:rFonts w:asciiTheme="minorHAnsi" w:eastAsiaTheme="minorHAnsi" w:hAnsiTheme="minorHAnsi" w:cstheme="minorHAnsi"/>
                <w:spacing w:val="-1"/>
                <w:sz w:val="22"/>
                <w:szCs w:val="22"/>
              </w:rPr>
              <w:t xml:space="preserve"> If your answer to Question 2.6.4 is “yes”, what consequence do you think should follow if a LIC or LIT enters into, or seeks to enter into, a transaction that will allow it to exercise control over or manage any entity, or the business of any entity, in which it invests? Should this be prohibited? Or should it be permitted if the entity obtains approval from its shareholders/unitholders?</w:t>
            </w:r>
          </w:p>
        </w:tc>
        <w:tc>
          <w:tcPr>
            <w:tcW w:w="7280" w:type="dxa"/>
          </w:tcPr>
          <w:p w14:paraId="1275358A"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D8E3DE9" w14:textId="60A0C36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CC5B418" w14:textId="44E9D7AE" w:rsidTr="00410D3C">
        <w:trPr>
          <w:cantSplit/>
        </w:trPr>
        <w:tc>
          <w:tcPr>
            <w:tcW w:w="7280" w:type="dxa"/>
          </w:tcPr>
          <w:p w14:paraId="5A377664" w14:textId="685CD4B9"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2.6.6:</w:t>
            </w:r>
            <w:r w:rsidRPr="002444A1">
              <w:rPr>
                <w:rFonts w:asciiTheme="minorHAnsi" w:eastAsiaTheme="minorHAnsi" w:hAnsiTheme="minorHAnsi" w:cstheme="minorHAnsi"/>
                <w:spacing w:val="-1"/>
                <w:sz w:val="22"/>
                <w:szCs w:val="22"/>
              </w:rPr>
              <w:t xml:space="preserve"> If your answer to Question 2.6.4 is “yes”, how do you think ASX should address a situation where an investment entity generally does not have the objective of exercising control over or managing any entity, or the business of any entity, in which it invests but feels that it needs to do so in a particular case, in the interests of its investors, because the entity or business is being poorly managed? Should this be permitted if the entity obtains approval from its shareholders/unitholders or should ASX consider granting a waiver to allow this to occur where it is satisfied that this is a “one-off” and temporary situation?</w:t>
            </w:r>
          </w:p>
        </w:tc>
        <w:tc>
          <w:tcPr>
            <w:tcW w:w="7280" w:type="dxa"/>
          </w:tcPr>
          <w:p w14:paraId="39BD5D0F"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A04055A" w14:textId="734BB07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7E157BF" w14:textId="674E310C" w:rsidTr="00410D3C">
        <w:trPr>
          <w:cantSplit/>
        </w:trPr>
        <w:tc>
          <w:tcPr>
            <w:tcW w:w="7280" w:type="dxa"/>
          </w:tcPr>
          <w:p w14:paraId="679AC76C" w14:textId="188E279C"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lastRenderedPageBreak/>
              <w:t>Question 2.6.7:</w:t>
            </w:r>
            <w:r w:rsidRPr="002444A1">
              <w:rPr>
                <w:rFonts w:asciiTheme="minorHAnsi" w:eastAsiaTheme="minorHAnsi" w:hAnsiTheme="minorHAnsi" w:cstheme="minorHAnsi"/>
                <w:spacing w:val="-1"/>
                <w:sz w:val="22"/>
                <w:szCs w:val="22"/>
              </w:rPr>
              <w:t xml:space="preserve"> If your answer to Question 2.6.4 is “yes”, to address the concerns in the text, would you support expanding the second limb of the definition of “investment entity” so that it reads: “</w:t>
            </w:r>
            <w:r w:rsidRPr="002444A1">
              <w:rPr>
                <w:rFonts w:asciiTheme="minorHAnsi" w:eastAsiaTheme="minorHAnsi" w:hAnsiTheme="minorHAnsi" w:cstheme="minorHAnsi"/>
                <w:i/>
                <w:spacing w:val="-1"/>
                <w:sz w:val="22"/>
                <w:szCs w:val="22"/>
              </w:rPr>
              <w:t xml:space="preserve">Its objectives do not include </w:t>
            </w:r>
            <w:r w:rsidRPr="002444A1">
              <w:rPr>
                <w:rFonts w:asciiTheme="minorHAnsi" w:eastAsiaTheme="minorHAnsi" w:hAnsiTheme="minorHAnsi" w:cstheme="minorHAnsi"/>
                <w:b/>
                <w:i/>
                <w:spacing w:val="-1"/>
                <w:sz w:val="22"/>
                <w:szCs w:val="22"/>
                <w:u w:val="single"/>
              </w:rPr>
              <w:t>(alone or together with others)</w:t>
            </w:r>
            <w:r w:rsidRPr="002444A1">
              <w:rPr>
                <w:rFonts w:asciiTheme="minorHAnsi" w:eastAsiaTheme="minorHAnsi" w:hAnsiTheme="minorHAnsi" w:cstheme="minorHAnsi"/>
                <w:i/>
                <w:spacing w:val="-1"/>
                <w:sz w:val="22"/>
                <w:szCs w:val="22"/>
              </w:rPr>
              <w:t xml:space="preserve"> exercising control over or managing any entity, or the business of any entity, in which it invests</w:t>
            </w:r>
            <w:r w:rsidRPr="002444A1">
              <w:rPr>
                <w:rFonts w:asciiTheme="minorHAnsi" w:eastAsiaTheme="minorHAnsi" w:hAnsiTheme="minorHAnsi" w:cstheme="minorHAnsi"/>
                <w:spacing w:val="-1"/>
                <w:sz w:val="22"/>
                <w:szCs w:val="22"/>
              </w:rPr>
              <w:t xml:space="preserve">”? </w:t>
            </w:r>
          </w:p>
        </w:tc>
        <w:tc>
          <w:tcPr>
            <w:tcW w:w="7280" w:type="dxa"/>
          </w:tcPr>
          <w:p w14:paraId="2354C4D0"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DBC9404" w14:textId="19D88AE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4578DB6F" w14:textId="0687448F" w:rsidTr="00410D3C">
        <w:trPr>
          <w:cantSplit/>
        </w:trPr>
        <w:tc>
          <w:tcPr>
            <w:tcW w:w="7280" w:type="dxa"/>
          </w:tcPr>
          <w:p w14:paraId="5AF0083C" w14:textId="0D077F40"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2.6.8:</w:t>
            </w:r>
            <w:r w:rsidRPr="002444A1">
              <w:rPr>
                <w:rFonts w:asciiTheme="minorHAnsi" w:eastAsiaTheme="minorHAnsi" w:hAnsiTheme="minorHAnsi"/>
                <w:spacing w:val="-1"/>
                <w:sz w:val="22"/>
                <w:szCs w:val="20"/>
              </w:rPr>
              <w:t xml:space="preserve"> As an alternative to precluding an investment entity from having an objective of exercising control over or managing an entity or its business, would it be better for the Listing Rules to limit the percentage holding an investment entity and its associates can have in any one entity. If so, what percentage would you suggest? If not, why not?</w:t>
            </w:r>
          </w:p>
        </w:tc>
        <w:tc>
          <w:tcPr>
            <w:tcW w:w="7280" w:type="dxa"/>
          </w:tcPr>
          <w:p w14:paraId="3B29D0AB"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E5DD308" w14:textId="53E2B440"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0C6D04B" w14:textId="40758C69" w:rsidTr="00410D3C">
        <w:trPr>
          <w:cantSplit/>
        </w:trPr>
        <w:tc>
          <w:tcPr>
            <w:tcW w:w="7280" w:type="dxa"/>
          </w:tcPr>
          <w:p w14:paraId="488711E8" w14:textId="4FD43B94"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2.6.9:</w:t>
            </w:r>
            <w:r w:rsidRPr="002444A1">
              <w:rPr>
                <w:rFonts w:asciiTheme="minorHAnsi" w:eastAsiaTheme="minorHAnsi" w:hAnsiTheme="minorHAnsi"/>
                <w:spacing w:val="-1"/>
                <w:sz w:val="22"/>
                <w:szCs w:val="20"/>
              </w:rPr>
              <w:t xml:space="preserve"> As an alternative to, or in addition to, the suggestion in the previous question, would it be better for the Listing Rules to limit the percentage of funds that an investment entity can invest in any one entity, thereby ensuring that it has a portfolio of different investments? If so, what percentage would you suggest? If not, why not?</w:t>
            </w:r>
          </w:p>
        </w:tc>
        <w:tc>
          <w:tcPr>
            <w:tcW w:w="7280" w:type="dxa"/>
          </w:tcPr>
          <w:p w14:paraId="5B993062"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8985BF4" w14:textId="0CBD775F"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5FB75AC" w14:textId="080C883F" w:rsidTr="00410D3C">
        <w:trPr>
          <w:cantSplit/>
        </w:trPr>
        <w:tc>
          <w:tcPr>
            <w:tcW w:w="7280" w:type="dxa"/>
          </w:tcPr>
          <w:p w14:paraId="66318D02" w14:textId="6F692521"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2.6.10:</w:t>
            </w:r>
            <w:r w:rsidRPr="002444A1">
              <w:rPr>
                <w:rFonts w:asciiTheme="minorHAnsi" w:eastAsiaTheme="minorHAnsi" w:hAnsiTheme="minorHAnsi" w:cstheme="minorHAnsi"/>
                <w:spacing w:val="-1"/>
                <w:sz w:val="22"/>
                <w:szCs w:val="22"/>
              </w:rPr>
              <w:t xml:space="preserve"> If the current rule framework for investment entities in the Listing Rules is retained, to address the concerns in the text, should the definition of “investment entity” be broadened so that it captures any entity which has been advised by ASX that it is an investment entity for the purposes of the Listing Rules?</w:t>
            </w:r>
          </w:p>
        </w:tc>
        <w:tc>
          <w:tcPr>
            <w:tcW w:w="7280" w:type="dxa"/>
          </w:tcPr>
          <w:p w14:paraId="40D60A61" w14:textId="53476288" w:rsidR="000E4D3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3D37BE0" w14:textId="6B7D4BE9" w:rsidR="00FF1055" w:rsidRPr="002444A1" w:rsidRDefault="00FF1055" w:rsidP="000E4D39">
            <w:pPr>
              <w:pStyle w:val="Definitionlist"/>
              <w:spacing w:before="0"/>
              <w:ind w:left="0" w:firstLine="0"/>
              <w:rPr>
                <w:rFonts w:asciiTheme="minorHAnsi" w:eastAsiaTheme="minorHAnsi" w:hAnsiTheme="minorHAnsi"/>
                <w:b/>
                <w:color w:val="009FDF" w:themeColor="accent2"/>
                <w:spacing w:val="-1"/>
                <w:sz w:val="22"/>
                <w:szCs w:val="20"/>
              </w:rPr>
            </w:pPr>
          </w:p>
        </w:tc>
      </w:tr>
      <w:tr w:rsidR="00FF1055" w:rsidRPr="002444A1" w14:paraId="64CB74AE" w14:textId="434439E9" w:rsidTr="00410D3C">
        <w:trPr>
          <w:cantSplit/>
        </w:trPr>
        <w:tc>
          <w:tcPr>
            <w:tcW w:w="7280" w:type="dxa"/>
          </w:tcPr>
          <w:p w14:paraId="6ADE14A9" w14:textId="53BE02CB"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2.6.11:</w:t>
            </w:r>
            <w:r w:rsidRPr="002444A1">
              <w:rPr>
                <w:rFonts w:asciiTheme="minorHAnsi" w:eastAsiaTheme="minorHAnsi" w:hAnsiTheme="minorHAnsi" w:cstheme="minorHAnsi"/>
                <w:spacing w:val="-1"/>
                <w:sz w:val="22"/>
                <w:szCs w:val="22"/>
              </w:rPr>
              <w:t xml:space="preserve"> If the current rule framework for investment entities in the Listing Rules is retained, are there any other improvements that could be made to the existing definition of “investment entity” in the Listing Rules? If so, what are they?</w:t>
            </w:r>
          </w:p>
        </w:tc>
        <w:tc>
          <w:tcPr>
            <w:tcW w:w="7280" w:type="dxa"/>
          </w:tcPr>
          <w:p w14:paraId="2B71C56C"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B6E6AF3" w14:textId="5A348226"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2497A7D4" w14:textId="4609B4CF" w:rsidTr="00C113C4">
        <w:trPr>
          <w:cantSplit/>
        </w:trPr>
        <w:tc>
          <w:tcPr>
            <w:tcW w:w="14560" w:type="dxa"/>
            <w:gridSpan w:val="2"/>
            <w:shd w:val="clear" w:color="auto" w:fill="F2F2F2" w:themeFill="background1" w:themeFillShade="F2"/>
          </w:tcPr>
          <w:p w14:paraId="7D6A3C71" w14:textId="49B16902" w:rsidR="003D6706" w:rsidRPr="00C113C4" w:rsidRDefault="003D6706" w:rsidP="00ED258B">
            <w:pPr>
              <w:pStyle w:val="ListBullet"/>
              <w:keepNext/>
              <w:numPr>
                <w:ilvl w:val="0"/>
                <w:numId w:val="0"/>
              </w:numPr>
              <w:spacing w:after="0"/>
              <w:rPr>
                <w:rFonts w:asciiTheme="majorHAnsi" w:hAnsiTheme="majorHAnsi" w:cs="Arial"/>
                <w:b/>
                <w:bCs/>
                <w:color w:val="0070C0"/>
                <w:sz w:val="28"/>
                <w:szCs w:val="28"/>
              </w:rPr>
            </w:pPr>
            <w:r w:rsidRPr="00C113C4">
              <w:rPr>
                <w:rFonts w:asciiTheme="majorHAnsi" w:hAnsiTheme="majorHAnsi" w:cs="Arial"/>
                <w:b/>
                <w:bCs/>
                <w:color w:val="0070C0"/>
                <w:sz w:val="24"/>
                <w:szCs w:val="24"/>
              </w:rPr>
              <w:t>3.2</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Approved issuers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Approved issuers of AQUA Products and Warrants</w:t>
            </w:r>
          </w:p>
        </w:tc>
      </w:tr>
      <w:tr w:rsidR="00FF1055" w:rsidRPr="002444A1" w14:paraId="59FEA11D" w14:textId="64A888C4" w:rsidTr="00410D3C">
        <w:trPr>
          <w:cantSplit/>
        </w:trPr>
        <w:tc>
          <w:tcPr>
            <w:tcW w:w="7280" w:type="dxa"/>
          </w:tcPr>
          <w:p w14:paraId="50A4B69E" w14:textId="6E1A293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3.2.1:</w:t>
            </w:r>
            <w:r w:rsidRPr="002444A1">
              <w:rPr>
                <w:rFonts w:asciiTheme="minorHAnsi" w:eastAsiaTheme="minorHAnsi" w:hAnsiTheme="minorHAnsi"/>
                <w:b/>
                <w:spacing w:val="-1"/>
                <w:sz w:val="22"/>
                <w:szCs w:val="20"/>
              </w:rPr>
              <w:t xml:space="preserve"> </w:t>
            </w:r>
            <w:r w:rsidRPr="002444A1">
              <w:rPr>
                <w:rFonts w:asciiTheme="minorHAnsi" w:eastAsiaTheme="minorHAnsi" w:hAnsiTheme="minorHAnsi"/>
                <w:spacing w:val="-1"/>
                <w:sz w:val="22"/>
                <w:szCs w:val="20"/>
              </w:rPr>
              <w:t xml:space="preserve">Should the list of Approved Issuers of AQUA Products and Warrants be expanded to include entities that are prudentially regulated by an overseas regulator equivalent to APRA? </w:t>
            </w:r>
            <w:r w:rsidRPr="002444A1">
              <w:rPr>
                <w:rFonts w:asciiTheme="minorHAnsi" w:eastAsiaTheme="minorHAnsi" w:hAnsiTheme="minorHAnsi"/>
                <w:spacing w:val="-1"/>
                <w:sz w:val="22"/>
                <w:szCs w:val="22"/>
              </w:rPr>
              <w:t>If not, why not?</w:t>
            </w:r>
          </w:p>
        </w:tc>
        <w:tc>
          <w:tcPr>
            <w:tcW w:w="7280" w:type="dxa"/>
          </w:tcPr>
          <w:p w14:paraId="719266D1"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093BB0B" w14:textId="0532311A"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472492C8" w14:textId="2E7B67CB" w:rsidTr="00410D3C">
        <w:trPr>
          <w:cantSplit/>
        </w:trPr>
        <w:tc>
          <w:tcPr>
            <w:tcW w:w="7280" w:type="dxa"/>
          </w:tcPr>
          <w:p w14:paraId="1877CDF3" w14:textId="3D83544A"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lastRenderedPageBreak/>
              <w:t>Question 3.2.2:</w:t>
            </w:r>
            <w:r w:rsidRPr="002444A1">
              <w:rPr>
                <w:rFonts w:asciiTheme="minorHAnsi" w:eastAsiaTheme="minorHAnsi" w:hAnsiTheme="minorHAnsi"/>
                <w:spacing w:val="-1"/>
                <w:sz w:val="22"/>
                <w:szCs w:val="22"/>
              </w:rPr>
              <w:t xml:space="preserve"> </w:t>
            </w:r>
            <w:r w:rsidRPr="002444A1">
              <w:rPr>
                <w:rFonts w:asciiTheme="minorHAnsi" w:eastAsiaTheme="minorHAnsi" w:hAnsiTheme="minorHAnsi" w:cstheme="minorHAnsi"/>
                <w:spacing w:val="-1"/>
                <w:sz w:val="22"/>
                <w:szCs w:val="22"/>
              </w:rPr>
              <w:t xml:space="preserve">Are there any other types of issuers who should be added to the </w:t>
            </w:r>
            <w:r w:rsidRPr="002444A1">
              <w:rPr>
                <w:rFonts w:asciiTheme="minorHAnsi" w:eastAsiaTheme="minorHAnsi" w:hAnsiTheme="minorHAnsi"/>
                <w:spacing w:val="-1"/>
                <w:sz w:val="22"/>
                <w:szCs w:val="20"/>
              </w:rPr>
              <w:t>list of Approved Issuers for AQUA Products and Warrants</w:t>
            </w:r>
            <w:r w:rsidRPr="002444A1">
              <w:rPr>
                <w:rFonts w:asciiTheme="minorHAnsi" w:eastAsiaTheme="minorHAnsi" w:hAnsiTheme="minorHAnsi" w:cstheme="minorHAnsi"/>
                <w:spacing w:val="-1"/>
                <w:sz w:val="22"/>
                <w:szCs w:val="22"/>
              </w:rPr>
              <w:t xml:space="preserve">? If so, what are they and why should they be added to the list of </w:t>
            </w:r>
            <w:r w:rsidRPr="002444A1">
              <w:rPr>
                <w:rFonts w:asciiTheme="minorHAnsi" w:eastAsiaTheme="minorHAnsi" w:hAnsiTheme="minorHAnsi"/>
                <w:spacing w:val="-1"/>
                <w:sz w:val="22"/>
                <w:szCs w:val="20"/>
              </w:rPr>
              <w:t>Approved Issuers for AQUA Products and Warrants</w:t>
            </w:r>
            <w:r w:rsidRPr="002444A1">
              <w:rPr>
                <w:rFonts w:asciiTheme="minorHAnsi" w:eastAsiaTheme="minorHAnsi" w:hAnsiTheme="minorHAnsi" w:cstheme="minorHAnsi"/>
                <w:spacing w:val="-1"/>
                <w:sz w:val="22"/>
                <w:szCs w:val="22"/>
              </w:rPr>
              <w:t>?</w:t>
            </w:r>
          </w:p>
        </w:tc>
        <w:tc>
          <w:tcPr>
            <w:tcW w:w="7280" w:type="dxa"/>
          </w:tcPr>
          <w:p w14:paraId="340DAF25"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F49A592" w14:textId="44F9891B"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1F467B35" w14:textId="5761AF2C" w:rsidTr="00C113C4">
        <w:trPr>
          <w:cantSplit/>
        </w:trPr>
        <w:tc>
          <w:tcPr>
            <w:tcW w:w="14560" w:type="dxa"/>
            <w:gridSpan w:val="2"/>
            <w:shd w:val="clear" w:color="auto" w:fill="F2F2F2" w:themeFill="background1" w:themeFillShade="F2"/>
          </w:tcPr>
          <w:p w14:paraId="598A22B8" w14:textId="447653B9" w:rsidR="003D6706" w:rsidRPr="00C113C4" w:rsidRDefault="003D6706"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3.3</w:t>
            </w:r>
            <w:r w:rsidRPr="00C113C4">
              <w:rPr>
                <w:rFonts w:asciiTheme="majorHAnsi" w:hAnsiTheme="majorHAnsi" w:cs="Arial"/>
                <w:b/>
                <w:bCs/>
                <w:color w:val="0070C0"/>
                <w:sz w:val="24"/>
                <w:szCs w:val="24"/>
              </w:rPr>
              <w:tab/>
            </w:r>
            <w:r w:rsidR="002C0A68" w:rsidRPr="00042554">
              <w:rPr>
                <w:rFonts w:asciiTheme="majorHAnsi" w:hAnsiTheme="majorHAnsi" w:cs="Arial"/>
                <w:b/>
                <w:bCs/>
                <w:color w:val="0070C0"/>
                <w:sz w:val="24"/>
                <w:szCs w:val="24"/>
              </w:rPr>
              <w:t>Approved issuers</w:t>
            </w:r>
            <w:r w:rsidR="002C0A68" w:rsidRPr="00C113C4">
              <w:rPr>
                <w:rFonts w:asciiTheme="majorHAnsi" w:hAnsiTheme="majorHAnsi" w:cs="Arial"/>
                <w:b/>
                <w:bCs/>
                <w:color w:val="0070C0"/>
                <w:sz w:val="24"/>
                <w:szCs w:val="24"/>
              </w:rPr>
              <w:t xml:space="preserve"> </w:t>
            </w:r>
            <w:r w:rsidR="002C0A68">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Financial products excluded from being AQUA Products</w:t>
            </w:r>
          </w:p>
        </w:tc>
      </w:tr>
      <w:tr w:rsidR="00FF1055" w:rsidRPr="002444A1" w14:paraId="5F2E72B5" w14:textId="2362D0BA" w:rsidTr="00410D3C">
        <w:trPr>
          <w:cantSplit/>
        </w:trPr>
        <w:tc>
          <w:tcPr>
            <w:tcW w:w="7280" w:type="dxa"/>
          </w:tcPr>
          <w:p w14:paraId="6DF15A9F" w14:textId="7E67B9C7"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3.3.1:</w:t>
            </w:r>
            <w:r w:rsidRPr="002444A1">
              <w:rPr>
                <w:rFonts w:asciiTheme="minorHAnsi" w:eastAsiaTheme="minorHAnsi" w:hAnsiTheme="minorHAnsi"/>
                <w:spacing w:val="-1"/>
                <w:sz w:val="22"/>
                <w:szCs w:val="20"/>
              </w:rPr>
              <w:t xml:space="preserve"> Do you agree with ASX’s proposed changes to the exclusions in AQUA Rule 10A.3.3(d) so that they only apply to </w:t>
            </w:r>
            <w:r w:rsidRPr="002444A1">
              <w:rPr>
                <w:rFonts w:asciiTheme="minorHAnsi" w:eastAsiaTheme="minorHAnsi" w:hAnsiTheme="minorHAnsi" w:cstheme="minorHAnsi"/>
                <w:spacing w:val="-1"/>
                <w:sz w:val="22"/>
                <w:szCs w:val="22"/>
              </w:rPr>
              <w:t xml:space="preserve">securities in a </w:t>
            </w:r>
            <w:r w:rsidRPr="002444A1">
              <w:rPr>
                <w:rFonts w:asciiTheme="minorHAnsi" w:hAnsiTheme="minorHAnsi" w:cstheme="minorHAnsi"/>
                <w:sz w:val="22"/>
                <w:szCs w:val="22"/>
              </w:rPr>
              <w:t>financial investment entity, real estate investment entity or infrastructure investment entity that is quoted on the ASX market under the ASX Listing Rules rather than the AQUA Rules. If not, why not?</w:t>
            </w:r>
          </w:p>
        </w:tc>
        <w:tc>
          <w:tcPr>
            <w:tcW w:w="7280" w:type="dxa"/>
          </w:tcPr>
          <w:p w14:paraId="521C8FFF"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0EE27EB" w14:textId="7EEC80F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BE188A5" w14:textId="6B7E2C9F" w:rsidTr="00410D3C">
        <w:trPr>
          <w:cantSplit/>
        </w:trPr>
        <w:tc>
          <w:tcPr>
            <w:tcW w:w="7280" w:type="dxa"/>
          </w:tcPr>
          <w:p w14:paraId="13F367CB" w14:textId="4EF7C86F" w:rsidR="00FF1055" w:rsidRPr="002444A1" w:rsidRDefault="00FF1055" w:rsidP="00ED258B">
            <w:pPr>
              <w:pStyle w:val="Definitionlist"/>
              <w:spacing w:before="0" w:after="0"/>
              <w:ind w:left="0" w:firstLine="0"/>
              <w:rPr>
                <w:rFonts w:asciiTheme="minorHAnsi" w:hAnsiTheme="minorHAnsi" w:cstheme="minorHAnsi"/>
                <w:sz w:val="22"/>
                <w:szCs w:val="22"/>
              </w:rPr>
            </w:pPr>
            <w:r w:rsidRPr="002444A1">
              <w:rPr>
                <w:rFonts w:asciiTheme="minorHAnsi" w:eastAsiaTheme="minorHAnsi" w:hAnsiTheme="minorHAnsi"/>
                <w:b/>
                <w:color w:val="009FDF" w:themeColor="accent2"/>
                <w:spacing w:val="-1"/>
                <w:sz w:val="22"/>
                <w:szCs w:val="20"/>
              </w:rPr>
              <w:t>Question 3.3.2:</w:t>
            </w:r>
            <w:r w:rsidRPr="002444A1">
              <w:rPr>
                <w:rFonts w:asciiTheme="minorHAnsi" w:eastAsiaTheme="minorHAnsi" w:hAnsiTheme="minorHAnsi"/>
                <w:spacing w:val="-1"/>
                <w:sz w:val="22"/>
                <w:szCs w:val="20"/>
              </w:rPr>
              <w:t xml:space="preserve"> Do you think that </w:t>
            </w:r>
            <w:r w:rsidRPr="002444A1">
              <w:rPr>
                <w:rFonts w:asciiTheme="minorHAnsi" w:hAnsiTheme="minorHAnsi" w:cstheme="minorHAnsi"/>
                <w:sz w:val="22"/>
                <w:szCs w:val="22"/>
              </w:rPr>
              <w:t xml:space="preserve">an AQUA Product issuer should be precluded from having a controlling interest in the issuer of an underlying instrument in </w:t>
            </w:r>
            <w:r w:rsidRPr="002444A1">
              <w:rPr>
                <w:rFonts w:asciiTheme="minorHAnsi" w:eastAsiaTheme="minorHAnsi" w:hAnsiTheme="minorHAnsi"/>
                <w:spacing w:val="-1"/>
                <w:sz w:val="22"/>
                <w:szCs w:val="20"/>
              </w:rPr>
              <w:t>its</w:t>
            </w:r>
            <w:r w:rsidRPr="002444A1">
              <w:rPr>
                <w:rFonts w:asciiTheme="minorHAnsi" w:hAnsiTheme="minorHAnsi" w:cstheme="minorHAnsi"/>
                <w:sz w:val="22"/>
                <w:szCs w:val="22"/>
              </w:rPr>
              <w:t xml:space="preserve"> portfolio</w:t>
            </w:r>
            <w:r w:rsidRPr="002444A1">
              <w:rPr>
                <w:rFonts w:asciiTheme="minorHAnsi" w:eastAsiaTheme="minorHAnsi" w:hAnsiTheme="minorHAnsi"/>
                <w:spacing w:val="-1"/>
                <w:sz w:val="22"/>
                <w:szCs w:val="20"/>
              </w:rPr>
              <w:t>? If not, why not? If so, do you think that AQUA Rule 10A.3.3(d) is sufficiently clear in this regard? If not, how would you re-word that rule to cover the point?</w:t>
            </w:r>
          </w:p>
        </w:tc>
        <w:tc>
          <w:tcPr>
            <w:tcW w:w="7280" w:type="dxa"/>
          </w:tcPr>
          <w:p w14:paraId="0E179ECE"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282D030" w14:textId="0B2463DC"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EB67900" w14:textId="4F79A82A" w:rsidTr="00C113C4">
        <w:trPr>
          <w:cantSplit/>
        </w:trPr>
        <w:tc>
          <w:tcPr>
            <w:tcW w:w="14560" w:type="dxa"/>
            <w:gridSpan w:val="2"/>
            <w:shd w:val="clear" w:color="auto" w:fill="F2F2F2" w:themeFill="background1" w:themeFillShade="F2"/>
          </w:tcPr>
          <w:p w14:paraId="09352E39" w14:textId="490CE3FA" w:rsidR="003D6706" w:rsidRPr="00C113C4" w:rsidRDefault="003D6706"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3.4</w:t>
            </w:r>
            <w:r w:rsidRPr="00C113C4">
              <w:rPr>
                <w:rFonts w:asciiTheme="majorHAnsi" w:hAnsiTheme="majorHAnsi" w:cs="Arial"/>
                <w:b/>
                <w:bCs/>
                <w:color w:val="0070C0"/>
                <w:sz w:val="24"/>
                <w:szCs w:val="24"/>
              </w:rPr>
              <w:tab/>
            </w:r>
            <w:r w:rsidR="002C0A68" w:rsidRPr="00042554">
              <w:rPr>
                <w:rFonts w:asciiTheme="majorHAnsi" w:hAnsiTheme="majorHAnsi" w:cs="Arial"/>
                <w:b/>
                <w:bCs/>
                <w:color w:val="0070C0"/>
                <w:sz w:val="24"/>
                <w:szCs w:val="24"/>
              </w:rPr>
              <w:t>Approved issuers</w:t>
            </w:r>
            <w:r w:rsidR="002C0A68" w:rsidRPr="00C113C4">
              <w:rPr>
                <w:rFonts w:asciiTheme="majorHAnsi" w:hAnsiTheme="majorHAnsi" w:cs="Arial"/>
                <w:b/>
                <w:bCs/>
                <w:color w:val="0070C0"/>
                <w:sz w:val="24"/>
                <w:szCs w:val="24"/>
              </w:rPr>
              <w:t xml:space="preserve"> </w:t>
            </w:r>
            <w:r w:rsidR="002C0A68">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Hybrid Listed/AQUA Product structures</w:t>
            </w:r>
          </w:p>
        </w:tc>
      </w:tr>
      <w:tr w:rsidR="00FF1055" w:rsidRPr="002444A1" w14:paraId="20C7D561" w14:textId="583B07D0" w:rsidTr="00410D3C">
        <w:trPr>
          <w:cantSplit/>
        </w:trPr>
        <w:tc>
          <w:tcPr>
            <w:tcW w:w="7280" w:type="dxa"/>
          </w:tcPr>
          <w:p w14:paraId="494CC253" w14:textId="20D1202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3.4.1:</w:t>
            </w:r>
            <w:r w:rsidRPr="002444A1">
              <w:rPr>
                <w:rFonts w:asciiTheme="minorHAnsi" w:eastAsiaTheme="minorHAnsi" w:hAnsiTheme="minorHAnsi"/>
                <w:spacing w:val="-1"/>
                <w:sz w:val="22"/>
                <w:szCs w:val="20"/>
              </w:rPr>
              <w:t xml:space="preserve"> Do you have any views about hybrid structures, where a listed issuer that is also approved as an AQUA Product issuer simultaneously issues one class of securities that is a Listed Investment Product subject to the Listing Rules and another class of securities that is an AQUA Product subject to the AQUA Rules? What do you see as the advantages and disadvantages of these hybrid structures? Do you see any particular risks associated with, or have any other concerns about, these hybrid structures that you would like to see addressed in any re-write of the Listing Rules and the AQUA Rules?</w:t>
            </w:r>
          </w:p>
        </w:tc>
        <w:tc>
          <w:tcPr>
            <w:tcW w:w="7280" w:type="dxa"/>
          </w:tcPr>
          <w:p w14:paraId="79AB5428"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BA79EDC" w14:textId="4E1AEAB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2EB1EBF0" w14:textId="18865822" w:rsidTr="00C113C4">
        <w:trPr>
          <w:cantSplit/>
        </w:trPr>
        <w:tc>
          <w:tcPr>
            <w:tcW w:w="14560" w:type="dxa"/>
            <w:gridSpan w:val="2"/>
            <w:shd w:val="clear" w:color="auto" w:fill="F2F2F2" w:themeFill="background1" w:themeFillShade="F2"/>
          </w:tcPr>
          <w:p w14:paraId="74EFCDB7" w14:textId="09529AE9" w:rsidR="003D6706" w:rsidRPr="00C113C4" w:rsidRDefault="003D6706" w:rsidP="00ED258B">
            <w:pPr>
              <w:pStyle w:val="ListBullet"/>
              <w:keepNext/>
              <w:numPr>
                <w:ilvl w:val="0"/>
                <w:numId w:val="0"/>
              </w:numPr>
              <w:spacing w:after="0"/>
              <w:rPr>
                <w:rFonts w:asciiTheme="majorHAnsi" w:hAnsiTheme="majorHAnsi" w:cs="Arial"/>
                <w:b/>
                <w:bCs/>
                <w:color w:val="0070C0"/>
                <w:sz w:val="28"/>
                <w:szCs w:val="28"/>
              </w:rPr>
            </w:pPr>
            <w:r w:rsidRPr="00C113C4">
              <w:rPr>
                <w:rFonts w:asciiTheme="majorHAnsi" w:hAnsiTheme="majorHAnsi" w:cs="Arial"/>
                <w:b/>
                <w:bCs/>
                <w:color w:val="0070C0"/>
                <w:sz w:val="24"/>
                <w:szCs w:val="24"/>
              </w:rPr>
              <w:lastRenderedPageBreak/>
              <w:t>4.2</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Admission requirements and processes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Minimum fund size</w:t>
            </w:r>
          </w:p>
        </w:tc>
      </w:tr>
      <w:tr w:rsidR="00FF1055" w:rsidRPr="002444A1" w14:paraId="745A8FC1" w14:textId="7AF4C93E" w:rsidTr="00410D3C">
        <w:trPr>
          <w:cantSplit/>
        </w:trPr>
        <w:tc>
          <w:tcPr>
            <w:tcW w:w="7280" w:type="dxa"/>
          </w:tcPr>
          <w:p w14:paraId="3B8B9186" w14:textId="06FE4D5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4.2.1:</w:t>
            </w:r>
            <w:r w:rsidRPr="002444A1">
              <w:rPr>
                <w:rFonts w:asciiTheme="minorHAnsi" w:eastAsiaTheme="minorHAnsi" w:hAnsiTheme="minorHAnsi"/>
                <w:spacing w:val="-1"/>
                <w:sz w:val="22"/>
                <w:szCs w:val="20"/>
              </w:rPr>
              <w:t xml:space="preserve"> Is having an NTA (after deducting the costs of fund raising) of $15 million a suitable threshold for admission as a LIC or LIT? Should it be higher? If so, what should it be?</w:t>
            </w:r>
          </w:p>
        </w:tc>
        <w:tc>
          <w:tcPr>
            <w:tcW w:w="7280" w:type="dxa"/>
          </w:tcPr>
          <w:p w14:paraId="431DB41E"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BD95B44" w14:textId="433AD58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5D5E88B" w14:textId="7C8F1066" w:rsidTr="00410D3C">
        <w:trPr>
          <w:cantSplit/>
        </w:trPr>
        <w:tc>
          <w:tcPr>
            <w:tcW w:w="7280" w:type="dxa"/>
          </w:tcPr>
          <w:p w14:paraId="5149C34B" w14:textId="412EA3C7"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4.2.2:</w:t>
            </w:r>
            <w:r w:rsidRPr="002444A1">
              <w:rPr>
                <w:rFonts w:asciiTheme="minorHAnsi" w:eastAsiaTheme="minorHAnsi" w:hAnsiTheme="minorHAnsi"/>
                <w:spacing w:val="-1"/>
                <w:sz w:val="22"/>
                <w:szCs w:val="20"/>
              </w:rPr>
              <w:t xml:space="preserve"> Is having an NTA (after deducting the costs of fund raising) of $4 million a suitable threshold for admission as a REIT or IF? Should it be higher? If so, what should it be?</w:t>
            </w:r>
          </w:p>
        </w:tc>
        <w:tc>
          <w:tcPr>
            <w:tcW w:w="7280" w:type="dxa"/>
          </w:tcPr>
          <w:p w14:paraId="5E7CB18C"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7750AF3" w14:textId="3B6CF841"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BA21E3E" w14:textId="0031C35B" w:rsidTr="00410D3C">
        <w:trPr>
          <w:cantSplit/>
        </w:trPr>
        <w:tc>
          <w:tcPr>
            <w:tcW w:w="7280" w:type="dxa"/>
          </w:tcPr>
          <w:p w14:paraId="4A46DD3C" w14:textId="667CEEE4"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4.2.3:</w:t>
            </w:r>
            <w:r w:rsidRPr="002444A1">
              <w:rPr>
                <w:rFonts w:asciiTheme="minorHAnsi" w:eastAsiaTheme="minorHAnsi" w:hAnsiTheme="minorHAnsi"/>
                <w:spacing w:val="-1"/>
                <w:sz w:val="22"/>
                <w:szCs w:val="20"/>
              </w:rPr>
              <w:t xml:space="preserve"> If in your response to Question 2.5.2 you have identified other types of collective investment product issuers, apart from LICs, LITs, REITs and IFs, that should be formally recognised in the Listing Rules as separate categories of listed investment vehicles, is having an NTA (after deducting the costs of fund raising) of $4 million a suitable threshold for admission as such a vehicle? Should it be higher? If so, what should it be?</w:t>
            </w:r>
          </w:p>
        </w:tc>
        <w:tc>
          <w:tcPr>
            <w:tcW w:w="7280" w:type="dxa"/>
          </w:tcPr>
          <w:p w14:paraId="232AEF54"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0201A95" w14:textId="09EB4E6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A08475A" w14:textId="3AA8732A" w:rsidTr="00410D3C">
        <w:trPr>
          <w:cantSplit/>
        </w:trPr>
        <w:tc>
          <w:tcPr>
            <w:tcW w:w="7280" w:type="dxa"/>
          </w:tcPr>
          <w:p w14:paraId="356EE307" w14:textId="790FE3DC"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4.2.4:</w:t>
            </w:r>
            <w:r w:rsidRPr="002444A1">
              <w:rPr>
                <w:rFonts w:asciiTheme="minorHAnsi" w:eastAsiaTheme="minorHAnsi" w:hAnsiTheme="minorHAnsi"/>
                <w:spacing w:val="-1"/>
                <w:sz w:val="22"/>
                <w:szCs w:val="20"/>
              </w:rPr>
              <w:t xml:space="preserve"> Do you agree with ASX’s conclusion that it is not necessary to impose a minimum subscription or fund size requirement for AQUA Products or Warrants to be admitted to quotation under the AQUA Rules or Warrant Rules, given the liquidity support obligations that apply to those products? If not, why not and what minimum subscription or fund size would you suggest?</w:t>
            </w:r>
          </w:p>
        </w:tc>
        <w:tc>
          <w:tcPr>
            <w:tcW w:w="7280" w:type="dxa"/>
          </w:tcPr>
          <w:p w14:paraId="1F18B963"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B56DA78" w14:textId="5658935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44979CF7" w14:textId="7E081331" w:rsidTr="00410D3C">
        <w:trPr>
          <w:cantSplit/>
        </w:trPr>
        <w:tc>
          <w:tcPr>
            <w:tcW w:w="7280" w:type="dxa"/>
          </w:tcPr>
          <w:p w14:paraId="2AA6304C" w14:textId="45B5A735"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4.2.5:</w:t>
            </w:r>
            <w:r w:rsidRPr="002444A1">
              <w:rPr>
                <w:rFonts w:asciiTheme="minorHAnsi" w:eastAsiaTheme="minorHAnsi" w:hAnsiTheme="minorHAnsi"/>
                <w:spacing w:val="-1"/>
                <w:sz w:val="22"/>
                <w:szCs w:val="20"/>
              </w:rPr>
              <w:t xml:space="preserve"> Do you think that ASX should have the power to order the issuer of an AQUA Product or Warrant to conduct an orderly wind down of the product and also for ASX to suspend quotation of the product while the orderly wind-down is undertaken</w:t>
            </w:r>
            <w:r w:rsidRPr="002444A1" w:rsidDel="005A121C">
              <w:rPr>
                <w:rFonts w:asciiTheme="minorHAnsi" w:eastAsiaTheme="minorHAnsi" w:hAnsiTheme="minorHAnsi"/>
                <w:spacing w:val="-1"/>
                <w:sz w:val="22"/>
                <w:szCs w:val="20"/>
              </w:rPr>
              <w:t xml:space="preserve"> </w:t>
            </w:r>
            <w:r w:rsidRPr="002444A1">
              <w:rPr>
                <w:rFonts w:asciiTheme="minorHAnsi" w:eastAsiaTheme="minorHAnsi" w:hAnsiTheme="minorHAnsi"/>
                <w:spacing w:val="-1"/>
                <w:sz w:val="22"/>
                <w:szCs w:val="20"/>
              </w:rPr>
              <w:t>if, in ASX’s opinion, there is not sufficient investor interest in the product to warrant its continued quotation? If so, what considerations do you think ASX should take into account in exercising that power? If not, why not?</w:t>
            </w:r>
          </w:p>
        </w:tc>
        <w:tc>
          <w:tcPr>
            <w:tcW w:w="7280" w:type="dxa"/>
          </w:tcPr>
          <w:p w14:paraId="31734398"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6D54AB2" w14:textId="5983D44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0F43A339" w14:textId="0F9F46F0" w:rsidTr="00C113C4">
        <w:trPr>
          <w:cantSplit/>
        </w:trPr>
        <w:tc>
          <w:tcPr>
            <w:tcW w:w="14560" w:type="dxa"/>
            <w:gridSpan w:val="2"/>
            <w:shd w:val="clear" w:color="auto" w:fill="F2F2F2" w:themeFill="background1" w:themeFillShade="F2"/>
          </w:tcPr>
          <w:p w14:paraId="6C712879" w14:textId="14C7801A" w:rsidR="003D6706" w:rsidRPr="00C113C4" w:rsidRDefault="003D6706"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lastRenderedPageBreak/>
              <w:t>4.3</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Admission requirements and processes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Commitments</w:t>
            </w:r>
          </w:p>
        </w:tc>
      </w:tr>
      <w:tr w:rsidR="00FF1055" w:rsidRPr="002444A1" w14:paraId="24991968" w14:textId="4C2A8824" w:rsidTr="00410D3C">
        <w:trPr>
          <w:cantSplit/>
        </w:trPr>
        <w:tc>
          <w:tcPr>
            <w:tcW w:w="7280" w:type="dxa"/>
          </w:tcPr>
          <w:p w14:paraId="30D98A3D" w14:textId="36A137A5"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4.3.1:</w:t>
            </w:r>
            <w:r w:rsidRPr="002444A1">
              <w:rPr>
                <w:rFonts w:asciiTheme="minorHAnsi" w:eastAsiaTheme="minorHAnsi" w:hAnsiTheme="minorHAnsi"/>
                <w:spacing w:val="-1"/>
                <w:sz w:val="22"/>
                <w:szCs w:val="20"/>
              </w:rPr>
              <w:t xml:space="preserve"> Should REITs and IFs be excluded from the “commitments test”, in the same way that LICs and LITs are?</w:t>
            </w:r>
          </w:p>
        </w:tc>
        <w:tc>
          <w:tcPr>
            <w:tcW w:w="7280" w:type="dxa"/>
          </w:tcPr>
          <w:p w14:paraId="59D57EAE"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6B5B35C" w14:textId="4FD92E6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67A4680" w14:textId="53AE8193" w:rsidTr="00410D3C">
        <w:trPr>
          <w:cantSplit/>
        </w:trPr>
        <w:tc>
          <w:tcPr>
            <w:tcW w:w="7280" w:type="dxa"/>
          </w:tcPr>
          <w:p w14:paraId="20707D0E" w14:textId="31D72B67"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4.3.2:</w:t>
            </w:r>
            <w:r w:rsidRPr="002444A1">
              <w:rPr>
                <w:rFonts w:asciiTheme="minorHAnsi" w:eastAsiaTheme="minorHAnsi" w:hAnsiTheme="minorHAnsi"/>
                <w:spacing w:val="-1"/>
                <w:sz w:val="22"/>
                <w:szCs w:val="20"/>
              </w:rPr>
              <w:t xml:space="preserve"> If in your response to Question 2.5.2 you have identified other types of collective investment product issuers, apart from LICs, LITs, REITs and IFs, that should be formally recognised in the Listing Rules as separate categories of listed investment vehicles, should those product issuers also be excluded from the “commitments test”, in the same way that LICs and LITs are?</w:t>
            </w:r>
          </w:p>
        </w:tc>
        <w:tc>
          <w:tcPr>
            <w:tcW w:w="7280" w:type="dxa"/>
          </w:tcPr>
          <w:p w14:paraId="63D63A4C"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8ADC43C" w14:textId="1EC76E11"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55ED663A" w14:textId="6D4E17D9" w:rsidTr="00C113C4">
        <w:trPr>
          <w:cantSplit/>
        </w:trPr>
        <w:tc>
          <w:tcPr>
            <w:tcW w:w="14560" w:type="dxa"/>
            <w:gridSpan w:val="2"/>
            <w:shd w:val="clear" w:color="auto" w:fill="F2F2F2" w:themeFill="background1" w:themeFillShade="F2"/>
          </w:tcPr>
          <w:p w14:paraId="67F5C8CE" w14:textId="554ABE05" w:rsidR="003D6706" w:rsidRPr="00C113C4" w:rsidRDefault="003D6706"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4.4</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Admission requirements and processes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Required licences</w:t>
            </w:r>
          </w:p>
        </w:tc>
      </w:tr>
      <w:tr w:rsidR="00FF1055" w:rsidRPr="002444A1" w14:paraId="79A7FA85" w14:textId="5B25731B" w:rsidTr="00410D3C">
        <w:trPr>
          <w:cantSplit/>
        </w:trPr>
        <w:tc>
          <w:tcPr>
            <w:tcW w:w="7280" w:type="dxa"/>
          </w:tcPr>
          <w:p w14:paraId="0F779551" w14:textId="36D9B4D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4.4.1:</w:t>
            </w:r>
            <w:r w:rsidRPr="002444A1">
              <w:rPr>
                <w:rFonts w:asciiTheme="minorHAnsi" w:eastAsiaTheme="minorHAnsi" w:hAnsiTheme="minorHAnsi"/>
                <w:spacing w:val="-1"/>
                <w:sz w:val="22"/>
                <w:szCs w:val="20"/>
              </w:rPr>
              <w:t xml:space="preserve"> Should entities seeking admission to the official list as an issuer of a Listed Investment Product have to satisfy an admission condition that they hold all required licenses under Chapter 7 of the Corporations Act and, once they are admitted, under a continuing obligation to satisfy that condition for as long as they have any Listed Investment Products on issue? If not, why not?</w:t>
            </w:r>
          </w:p>
        </w:tc>
        <w:tc>
          <w:tcPr>
            <w:tcW w:w="7280" w:type="dxa"/>
          </w:tcPr>
          <w:p w14:paraId="2E829630"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6BDBEB5" w14:textId="5C907FC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68B5367E" w14:textId="7849EECE" w:rsidTr="00C113C4">
        <w:trPr>
          <w:cantSplit/>
        </w:trPr>
        <w:tc>
          <w:tcPr>
            <w:tcW w:w="14560" w:type="dxa"/>
            <w:gridSpan w:val="2"/>
            <w:shd w:val="clear" w:color="auto" w:fill="F2F2F2" w:themeFill="background1" w:themeFillShade="F2"/>
          </w:tcPr>
          <w:p w14:paraId="475B58DC" w14:textId="2CED2B1D" w:rsidR="003D6706" w:rsidRPr="00C113C4" w:rsidRDefault="003D6706"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4.5</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Admission requirements and processes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Adequate facilities and resources</w:t>
            </w:r>
          </w:p>
        </w:tc>
      </w:tr>
      <w:tr w:rsidR="00FF1055" w:rsidRPr="002444A1" w14:paraId="75D77F17" w14:textId="166CCBDD" w:rsidTr="00410D3C">
        <w:trPr>
          <w:cantSplit/>
        </w:trPr>
        <w:tc>
          <w:tcPr>
            <w:tcW w:w="7280" w:type="dxa"/>
          </w:tcPr>
          <w:p w14:paraId="0AF86215" w14:textId="059B84EF"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4.5.1:</w:t>
            </w:r>
            <w:r w:rsidRPr="002444A1">
              <w:rPr>
                <w:rFonts w:asciiTheme="minorHAnsi" w:eastAsiaTheme="minorHAnsi" w:hAnsiTheme="minorHAnsi"/>
                <w:spacing w:val="-1"/>
                <w:sz w:val="22"/>
                <w:szCs w:val="20"/>
              </w:rPr>
              <w:t xml:space="preserve"> Should entities seeking admission to the official list as an issuer of a Listed Investment Product have to satisfy an admission condition that they have adequate facilities, </w:t>
            </w:r>
            <w:r w:rsidRPr="002444A1">
              <w:rPr>
                <w:rFonts w:asciiTheme="majorHAnsi" w:hAnsiTheme="majorHAnsi" w:cstheme="majorHAnsi"/>
                <w:sz w:val="22"/>
                <w:szCs w:val="22"/>
              </w:rPr>
              <w:t xml:space="preserve">systems, processes, procedures, personnel, </w:t>
            </w:r>
            <w:r w:rsidRPr="002444A1">
              <w:rPr>
                <w:rFonts w:asciiTheme="minorHAnsi" w:eastAsiaTheme="minorHAnsi" w:hAnsiTheme="minorHAnsi"/>
                <w:spacing w:val="-1"/>
                <w:sz w:val="22"/>
                <w:szCs w:val="20"/>
              </w:rPr>
              <w:t xml:space="preserve">expertise, financial resources </w:t>
            </w:r>
            <w:r w:rsidRPr="002444A1">
              <w:rPr>
                <w:rFonts w:asciiTheme="majorHAnsi" w:hAnsiTheme="majorHAnsi" w:cstheme="majorHAnsi"/>
                <w:sz w:val="22"/>
                <w:szCs w:val="22"/>
              </w:rPr>
              <w:t xml:space="preserve">and contractual arrangements with third parties to </w:t>
            </w:r>
            <w:r w:rsidRPr="002444A1">
              <w:rPr>
                <w:rFonts w:asciiTheme="minorHAnsi" w:eastAsiaTheme="minorHAnsi" w:hAnsiTheme="minorHAnsi"/>
                <w:spacing w:val="-1"/>
                <w:sz w:val="22"/>
                <w:szCs w:val="20"/>
              </w:rPr>
              <w:t>perform their obligations as such an issuer and, once they are admitted, under a continuing obligation to satisfy that condition for as long as they have any Listed Investment Products on issue? If not, why not?</w:t>
            </w:r>
          </w:p>
        </w:tc>
        <w:tc>
          <w:tcPr>
            <w:tcW w:w="7280" w:type="dxa"/>
          </w:tcPr>
          <w:p w14:paraId="3ACF0238"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6D58BE3" w14:textId="468A183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0200ABB" w14:textId="296482EB" w:rsidTr="00C113C4">
        <w:trPr>
          <w:cantSplit/>
        </w:trPr>
        <w:tc>
          <w:tcPr>
            <w:tcW w:w="14560" w:type="dxa"/>
            <w:gridSpan w:val="2"/>
            <w:shd w:val="clear" w:color="auto" w:fill="F2F2F2" w:themeFill="background1" w:themeFillShade="F2"/>
          </w:tcPr>
          <w:p w14:paraId="0FFF4A17" w14:textId="08CF3B4C" w:rsidR="003D6706" w:rsidRPr="00C113C4" w:rsidRDefault="003D6706" w:rsidP="00ED258B">
            <w:pPr>
              <w:pStyle w:val="ListBullet"/>
              <w:keepNext/>
              <w:spacing w:after="0"/>
              <w:ind w:left="0"/>
              <w:rPr>
                <w:rFonts w:asciiTheme="majorHAnsi" w:hAnsiTheme="majorHAnsi" w:cs="Arial"/>
                <w:b/>
                <w:bCs/>
                <w:color w:val="0070C0"/>
                <w:sz w:val="28"/>
                <w:szCs w:val="28"/>
              </w:rPr>
            </w:pPr>
            <w:r w:rsidRPr="00C113C4">
              <w:rPr>
                <w:rFonts w:asciiTheme="majorHAnsi" w:hAnsiTheme="majorHAnsi" w:cs="Arial"/>
                <w:b/>
                <w:bCs/>
                <w:color w:val="0070C0"/>
                <w:sz w:val="24"/>
                <w:szCs w:val="24"/>
              </w:rPr>
              <w:lastRenderedPageBreak/>
              <w:t>5.2</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Product names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Naming requirements for AQUA Products and Warrants</w:t>
            </w:r>
          </w:p>
        </w:tc>
      </w:tr>
      <w:tr w:rsidR="00FF1055" w:rsidRPr="002444A1" w14:paraId="06A3FD56" w14:textId="6CF5309C" w:rsidTr="00410D3C">
        <w:trPr>
          <w:cantSplit/>
        </w:trPr>
        <w:tc>
          <w:tcPr>
            <w:tcW w:w="7280" w:type="dxa"/>
          </w:tcPr>
          <w:p w14:paraId="0C35CA71" w14:textId="5F65F2D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5.2.1</w:t>
            </w:r>
            <w:r w:rsidRPr="002444A1">
              <w:rPr>
                <w:rFonts w:asciiTheme="minorHAnsi" w:eastAsiaTheme="minorHAnsi" w:hAnsiTheme="minorHAnsi"/>
                <w:b/>
                <w:spacing w:val="-1"/>
                <w:sz w:val="22"/>
                <w:szCs w:val="20"/>
              </w:rPr>
              <w:t>:</w:t>
            </w:r>
            <w:r w:rsidRPr="002444A1">
              <w:rPr>
                <w:rFonts w:asciiTheme="minorHAnsi" w:eastAsiaTheme="minorHAnsi" w:hAnsiTheme="minorHAnsi"/>
                <w:spacing w:val="-1"/>
                <w:sz w:val="22"/>
                <w:szCs w:val="20"/>
              </w:rPr>
              <w:t xml:space="preserve"> Are there any other naming constraints or requirements, apart from those set out in the text, that should apply to AQUA Products or Warrants generally or to specific types of AQUA Products or Warrants? If so, what are they?</w:t>
            </w:r>
          </w:p>
        </w:tc>
        <w:tc>
          <w:tcPr>
            <w:tcW w:w="7280" w:type="dxa"/>
          </w:tcPr>
          <w:p w14:paraId="68064C92"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556D140" w14:textId="0D8FFDBF"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D45105E" w14:textId="3EA65267" w:rsidTr="00C113C4">
        <w:trPr>
          <w:cantSplit/>
        </w:trPr>
        <w:tc>
          <w:tcPr>
            <w:tcW w:w="14560" w:type="dxa"/>
            <w:gridSpan w:val="2"/>
            <w:shd w:val="clear" w:color="auto" w:fill="F2F2F2" w:themeFill="background1" w:themeFillShade="F2"/>
          </w:tcPr>
          <w:p w14:paraId="0DB3FE35" w14:textId="31AE171C" w:rsidR="003D6706" w:rsidRPr="00C113C4" w:rsidRDefault="003D6706"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5.3</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Product names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Naming requirements for Listed Investment Products</w:t>
            </w:r>
          </w:p>
        </w:tc>
      </w:tr>
      <w:tr w:rsidR="00FF1055" w:rsidRPr="002444A1" w14:paraId="0A1D8E7E" w14:textId="4D2BE0FD" w:rsidTr="00410D3C">
        <w:trPr>
          <w:cantSplit/>
        </w:trPr>
        <w:tc>
          <w:tcPr>
            <w:tcW w:w="7280" w:type="dxa"/>
          </w:tcPr>
          <w:p w14:paraId="6D91B6C5" w14:textId="16AE279A" w:rsidR="00FF1055" w:rsidRPr="002444A1" w:rsidRDefault="00FF1055" w:rsidP="00ED258B">
            <w:pPr>
              <w:pStyle w:val="Definitionlist"/>
              <w:spacing w:before="0" w:after="0"/>
              <w:ind w:left="0" w:firstLine="0"/>
              <w:rPr>
                <w:rFonts w:asciiTheme="minorHAnsi" w:hAnsiTheme="minorHAnsi" w:cstheme="minorHAnsi"/>
                <w:sz w:val="22"/>
                <w:szCs w:val="22"/>
              </w:rPr>
            </w:pPr>
            <w:r w:rsidRPr="002444A1">
              <w:rPr>
                <w:rFonts w:asciiTheme="minorHAnsi" w:eastAsiaTheme="minorHAnsi" w:hAnsiTheme="minorHAnsi"/>
                <w:b/>
                <w:color w:val="009FDF" w:themeColor="accent2"/>
                <w:spacing w:val="-1"/>
                <w:sz w:val="22"/>
                <w:szCs w:val="20"/>
              </w:rPr>
              <w:t>Question 5.3.1:</w:t>
            </w:r>
            <w:r w:rsidRPr="002444A1">
              <w:rPr>
                <w:rFonts w:asciiTheme="minorHAnsi" w:eastAsiaTheme="minorHAnsi" w:hAnsiTheme="minorHAnsi"/>
                <w:spacing w:val="-1"/>
                <w:sz w:val="22"/>
                <w:szCs w:val="20"/>
              </w:rPr>
              <w:t xml:space="preserve"> Do you support the introduction of </w:t>
            </w:r>
            <w:r w:rsidRPr="002444A1">
              <w:rPr>
                <w:rFonts w:asciiTheme="minorHAnsi" w:hAnsiTheme="minorHAnsi" w:cstheme="minorHAnsi"/>
                <w:sz w:val="22"/>
                <w:szCs w:val="22"/>
              </w:rPr>
              <w:t>a rule for Listed Investment Products that the name of the product must not, in ASX’s opinion, be capable of misleading retail investors as to the nature, features or risks of the product? If not, why not?</w:t>
            </w:r>
          </w:p>
        </w:tc>
        <w:tc>
          <w:tcPr>
            <w:tcW w:w="7280" w:type="dxa"/>
          </w:tcPr>
          <w:p w14:paraId="6D7FD866"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7632A6B" w14:textId="37D7D129"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5BE2FA78" w14:textId="225F22EA" w:rsidTr="00410D3C">
        <w:trPr>
          <w:cantSplit/>
        </w:trPr>
        <w:tc>
          <w:tcPr>
            <w:tcW w:w="7280" w:type="dxa"/>
          </w:tcPr>
          <w:p w14:paraId="2AF0330B" w14:textId="5537CC83"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5.3.2</w:t>
            </w:r>
            <w:r w:rsidRPr="002444A1">
              <w:rPr>
                <w:rFonts w:asciiTheme="minorHAnsi" w:eastAsiaTheme="minorHAnsi" w:hAnsiTheme="minorHAnsi"/>
                <w:b/>
                <w:spacing w:val="-1"/>
                <w:sz w:val="22"/>
                <w:szCs w:val="20"/>
              </w:rPr>
              <w:t>:</w:t>
            </w:r>
            <w:r w:rsidRPr="002444A1">
              <w:rPr>
                <w:rFonts w:asciiTheme="minorHAnsi" w:eastAsiaTheme="minorHAnsi" w:hAnsiTheme="minorHAnsi"/>
                <w:spacing w:val="-1"/>
                <w:sz w:val="22"/>
                <w:szCs w:val="20"/>
              </w:rPr>
              <w:t xml:space="preserve"> Do you support the introduction of </w:t>
            </w:r>
            <w:r w:rsidRPr="002444A1">
              <w:rPr>
                <w:rFonts w:asciiTheme="minorHAnsi" w:hAnsiTheme="minorHAnsi" w:cstheme="minorHAnsi"/>
                <w:sz w:val="22"/>
                <w:szCs w:val="22"/>
              </w:rPr>
              <w:t>a rule for Listed Investment Products that if the issuer proposes to change the name of the product, it must first seek approval from ASX to the new name? If not, why not?</w:t>
            </w:r>
          </w:p>
        </w:tc>
        <w:tc>
          <w:tcPr>
            <w:tcW w:w="7280" w:type="dxa"/>
          </w:tcPr>
          <w:p w14:paraId="23D5C52B"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6CB2EE5" w14:textId="6707730E"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4B68A8F0" w14:textId="2BD2D066" w:rsidTr="00410D3C">
        <w:trPr>
          <w:cantSplit/>
        </w:trPr>
        <w:tc>
          <w:tcPr>
            <w:tcW w:w="7280" w:type="dxa"/>
          </w:tcPr>
          <w:p w14:paraId="2DAFC6C1" w14:textId="67846A53"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5.3.3:</w:t>
            </w:r>
            <w:r w:rsidRPr="002444A1">
              <w:rPr>
                <w:rFonts w:asciiTheme="minorHAnsi" w:eastAsiaTheme="minorHAnsi" w:hAnsiTheme="minorHAnsi"/>
                <w:spacing w:val="-1"/>
                <w:sz w:val="22"/>
                <w:szCs w:val="20"/>
              </w:rPr>
              <w:t xml:space="preserve"> Should issuers of Listed Investment Products be prohibited under the Listing Rules from describing themselves as an “Exchange Traded Fund” or “ETF”? </w:t>
            </w:r>
            <w:r w:rsidRPr="002444A1">
              <w:rPr>
                <w:rFonts w:asciiTheme="minorHAnsi" w:hAnsiTheme="minorHAnsi" w:cstheme="minorHAnsi"/>
                <w:sz w:val="22"/>
                <w:szCs w:val="22"/>
              </w:rPr>
              <w:t>If not, why not?</w:t>
            </w:r>
            <w:r w:rsidRPr="002444A1">
              <w:rPr>
                <w:rFonts w:asciiTheme="minorHAnsi" w:eastAsiaTheme="minorHAnsi" w:hAnsiTheme="minorHAnsi"/>
                <w:spacing w:val="-1"/>
                <w:sz w:val="22"/>
                <w:szCs w:val="20"/>
              </w:rPr>
              <w:t>?</w:t>
            </w:r>
          </w:p>
        </w:tc>
        <w:tc>
          <w:tcPr>
            <w:tcW w:w="7280" w:type="dxa"/>
          </w:tcPr>
          <w:p w14:paraId="64554A4A"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1919E4A" w14:textId="3127F100"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C822D87" w14:textId="5A72506D" w:rsidTr="00410D3C">
        <w:trPr>
          <w:cantSplit/>
        </w:trPr>
        <w:tc>
          <w:tcPr>
            <w:tcW w:w="7280" w:type="dxa"/>
          </w:tcPr>
          <w:p w14:paraId="0925DC54" w14:textId="30ABA4EB"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5.3.4:</w:t>
            </w:r>
            <w:r w:rsidRPr="002444A1">
              <w:rPr>
                <w:rFonts w:asciiTheme="minorHAnsi" w:eastAsiaTheme="minorHAnsi" w:hAnsiTheme="minorHAnsi"/>
                <w:spacing w:val="-1"/>
                <w:sz w:val="22"/>
                <w:szCs w:val="20"/>
              </w:rPr>
              <w:t xml:space="preserve"> If your answer to question 5.3.3 is ‘no’, should LICs and LITs be subject to a Listing Rule requiring them to comply with similar naming requirements as those set out by ASIC in INFO 230? </w:t>
            </w:r>
            <w:r w:rsidRPr="002444A1">
              <w:rPr>
                <w:rFonts w:asciiTheme="minorHAnsi" w:hAnsiTheme="minorHAnsi" w:cstheme="minorHAnsi"/>
                <w:sz w:val="22"/>
                <w:szCs w:val="22"/>
              </w:rPr>
              <w:t>If not, why not?</w:t>
            </w:r>
          </w:p>
        </w:tc>
        <w:tc>
          <w:tcPr>
            <w:tcW w:w="7280" w:type="dxa"/>
          </w:tcPr>
          <w:p w14:paraId="0906C14B"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E8453BD" w14:textId="0D86D78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5B5AB9A8" w14:textId="658D7A4F" w:rsidTr="00410D3C">
        <w:trPr>
          <w:cantSplit/>
        </w:trPr>
        <w:tc>
          <w:tcPr>
            <w:tcW w:w="7280" w:type="dxa"/>
          </w:tcPr>
          <w:p w14:paraId="7919518E" w14:textId="58461DE4"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5.3.5:</w:t>
            </w:r>
            <w:r w:rsidRPr="002444A1">
              <w:rPr>
                <w:rFonts w:asciiTheme="minorHAnsi" w:eastAsiaTheme="minorHAnsi" w:hAnsiTheme="minorHAnsi"/>
                <w:spacing w:val="-1"/>
                <w:sz w:val="22"/>
                <w:szCs w:val="20"/>
              </w:rPr>
              <w:t xml:space="preserve"> Are there any other naming constraints or requirements that should apply to Listed Investment Products generally or to specific types of Listed Investment Products? If so, what are they?</w:t>
            </w:r>
          </w:p>
        </w:tc>
        <w:tc>
          <w:tcPr>
            <w:tcW w:w="7280" w:type="dxa"/>
          </w:tcPr>
          <w:p w14:paraId="13DE2F9A"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F9A2441" w14:textId="185BC696"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5C1C845E" w14:textId="576DBF9B" w:rsidTr="00C113C4">
        <w:trPr>
          <w:cantSplit/>
        </w:trPr>
        <w:tc>
          <w:tcPr>
            <w:tcW w:w="14560" w:type="dxa"/>
            <w:gridSpan w:val="2"/>
            <w:shd w:val="clear" w:color="auto" w:fill="F2F2F2" w:themeFill="background1" w:themeFillShade="F2"/>
          </w:tcPr>
          <w:p w14:paraId="285C9007" w14:textId="2918F3A3" w:rsidR="003D6706" w:rsidRPr="00C113C4" w:rsidRDefault="003D6706" w:rsidP="00ED258B">
            <w:pPr>
              <w:pStyle w:val="ListBullet"/>
              <w:keepNext/>
              <w:numPr>
                <w:ilvl w:val="0"/>
                <w:numId w:val="0"/>
              </w:numPr>
              <w:spacing w:after="0"/>
              <w:rPr>
                <w:rFonts w:asciiTheme="majorHAnsi" w:hAnsiTheme="majorHAnsi" w:cs="Arial"/>
                <w:b/>
                <w:bCs/>
                <w:color w:val="0070C0"/>
                <w:sz w:val="28"/>
                <w:szCs w:val="28"/>
              </w:rPr>
            </w:pPr>
            <w:r w:rsidRPr="00C113C4">
              <w:rPr>
                <w:rFonts w:asciiTheme="majorHAnsi" w:hAnsiTheme="majorHAnsi" w:cs="Arial"/>
                <w:b/>
                <w:bCs/>
                <w:color w:val="0070C0"/>
                <w:sz w:val="24"/>
                <w:szCs w:val="24"/>
              </w:rPr>
              <w:lastRenderedPageBreak/>
              <w:t>6.2</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Investment mandates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Investment mandates for AQUA Products</w:t>
            </w:r>
          </w:p>
        </w:tc>
      </w:tr>
      <w:tr w:rsidR="00FF1055" w:rsidRPr="002444A1" w14:paraId="6FC99A02" w14:textId="205B42AA" w:rsidTr="00410D3C">
        <w:trPr>
          <w:cantSplit/>
        </w:trPr>
        <w:tc>
          <w:tcPr>
            <w:tcW w:w="7280" w:type="dxa"/>
          </w:tcPr>
          <w:p w14:paraId="1A5CA8EF" w14:textId="437879B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6.2.1:</w:t>
            </w:r>
            <w:r w:rsidRPr="002444A1">
              <w:rPr>
                <w:rFonts w:asciiTheme="minorHAnsi" w:eastAsiaTheme="minorHAnsi" w:hAnsiTheme="minorHAnsi"/>
                <w:spacing w:val="-1"/>
                <w:sz w:val="22"/>
                <w:szCs w:val="20"/>
              </w:rPr>
              <w:t xml:space="preserve"> For greater certainty, should the term “investment mandate” be defined in the AQUA Rules? If so, would you be happy with a definition that simply incorporates the two components mentioned in section 6.2 of the consultation paper (ie investment objective and investment strategy)? If not, how would you define the term “investment mandate”?</w:t>
            </w:r>
          </w:p>
        </w:tc>
        <w:tc>
          <w:tcPr>
            <w:tcW w:w="7280" w:type="dxa"/>
          </w:tcPr>
          <w:p w14:paraId="2B3ADEF6"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819444E" w14:textId="75286F18"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6A714065" w14:textId="2C5E484B" w:rsidTr="00410D3C">
        <w:trPr>
          <w:cantSplit/>
        </w:trPr>
        <w:tc>
          <w:tcPr>
            <w:tcW w:w="7280" w:type="dxa"/>
          </w:tcPr>
          <w:p w14:paraId="24263FFB" w14:textId="3E56C516"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6.2.2:</w:t>
            </w:r>
            <w:r w:rsidRPr="002444A1">
              <w:rPr>
                <w:rFonts w:asciiTheme="minorHAnsi" w:eastAsiaTheme="minorHAnsi" w:hAnsiTheme="minorHAnsi"/>
                <w:spacing w:val="-1"/>
                <w:sz w:val="22"/>
                <w:szCs w:val="20"/>
              </w:rPr>
              <w:t xml:space="preserve"> Should the AQUA Rules impose any constraints on an ETF, ETMF, or ETSP that takes the form of a Collective Investment Product from changing its investment mandate (such as a requirement for a certain period of notice before the change is made)? If so, what should those constraints be? If not, why not?</w:t>
            </w:r>
          </w:p>
        </w:tc>
        <w:tc>
          <w:tcPr>
            <w:tcW w:w="7280" w:type="dxa"/>
          </w:tcPr>
          <w:p w14:paraId="48EB2E57"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8082490" w14:textId="28972174"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EB332FB" w14:textId="2B6F6E72" w:rsidTr="00410D3C">
        <w:trPr>
          <w:cantSplit/>
        </w:trPr>
        <w:tc>
          <w:tcPr>
            <w:tcW w:w="7280" w:type="dxa"/>
          </w:tcPr>
          <w:p w14:paraId="15C05615" w14:textId="32056F67"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6.2.3:</w:t>
            </w:r>
            <w:r w:rsidRPr="002444A1">
              <w:rPr>
                <w:rFonts w:asciiTheme="minorHAnsi" w:eastAsiaTheme="minorHAnsi" w:hAnsiTheme="minorHAnsi"/>
                <w:spacing w:val="-1"/>
                <w:sz w:val="22"/>
                <w:szCs w:val="20"/>
              </w:rPr>
              <w:t xml:space="preserve"> Should the AQUA Rules require an ETF, ETMF, or ETSP that takes the form of a Collective Investment Product to advise the market immediately if it materially breaches its investment mandate? If not, why not?</w:t>
            </w:r>
          </w:p>
        </w:tc>
        <w:tc>
          <w:tcPr>
            <w:tcW w:w="7280" w:type="dxa"/>
          </w:tcPr>
          <w:p w14:paraId="68346537"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CECE5DA" w14:textId="7FF4AA40"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AF77F67" w14:textId="573ABF40" w:rsidTr="00410D3C">
        <w:trPr>
          <w:cantSplit/>
        </w:trPr>
        <w:tc>
          <w:tcPr>
            <w:tcW w:w="7280" w:type="dxa"/>
          </w:tcPr>
          <w:p w14:paraId="0BB78860" w14:textId="405EC3D9"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6.2.4:</w:t>
            </w:r>
            <w:r w:rsidRPr="002444A1">
              <w:rPr>
                <w:rFonts w:asciiTheme="minorHAnsi" w:eastAsiaTheme="minorHAnsi" w:hAnsiTheme="minorHAnsi"/>
                <w:spacing w:val="-1"/>
                <w:sz w:val="22"/>
                <w:szCs w:val="20"/>
              </w:rPr>
              <w:t xml:space="preserve"> Should the AQUA Rules require an ETF, ETMF, or ETSP that takes the form of a Collective Investment Product to confirm in its annual report whether it has materially complied with its investment mandate for the financial year and, if it hasn’t, to disclose any material departures from that mandate? If not, why not? If so, should that statement be audited or otherwise verified by an independent third party?</w:t>
            </w:r>
          </w:p>
        </w:tc>
        <w:tc>
          <w:tcPr>
            <w:tcW w:w="7280" w:type="dxa"/>
          </w:tcPr>
          <w:p w14:paraId="25F57FF7"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3C7D930" w14:textId="426B35A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96EFE02" w14:textId="24E3BF3C" w:rsidTr="00C113C4">
        <w:trPr>
          <w:cantSplit/>
        </w:trPr>
        <w:tc>
          <w:tcPr>
            <w:tcW w:w="14560" w:type="dxa"/>
            <w:gridSpan w:val="2"/>
            <w:shd w:val="clear" w:color="auto" w:fill="F2F2F2" w:themeFill="background1" w:themeFillShade="F2"/>
          </w:tcPr>
          <w:p w14:paraId="502C2E7F" w14:textId="52061FDC" w:rsidR="003D6706" w:rsidRPr="00C113C4" w:rsidRDefault="003D6706"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6.3</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Investment mandates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Investment mandates for Listed Investment Products</w:t>
            </w:r>
          </w:p>
        </w:tc>
      </w:tr>
      <w:tr w:rsidR="00FF1055" w:rsidRPr="002444A1" w14:paraId="7D447356" w14:textId="4A00A5D6" w:rsidTr="00410D3C">
        <w:trPr>
          <w:cantSplit/>
        </w:trPr>
        <w:tc>
          <w:tcPr>
            <w:tcW w:w="7280" w:type="dxa"/>
          </w:tcPr>
          <w:p w14:paraId="42136632" w14:textId="230F6C5C"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6.3.1:</w:t>
            </w:r>
            <w:r w:rsidRPr="002444A1">
              <w:rPr>
                <w:rFonts w:asciiTheme="minorHAnsi" w:eastAsiaTheme="minorHAnsi" w:hAnsiTheme="minorHAnsi"/>
                <w:spacing w:val="-1"/>
                <w:sz w:val="22"/>
                <w:szCs w:val="20"/>
              </w:rPr>
              <w:t xml:space="preserve"> Should the Listing Rules require an entity applying for admission as a LIC or LIT to satisfy an admission condition that it have an investment mandate which is acceptable to ASX and which is set out in its listing prospectus or PDS. If not, why not? If so, how should the term “investment mandate” be defined in the Listing Rules? Would the two-part definition mentioned in section 6.2 of this consultation paper incorporating investment objective and investment strategy be appropriate?</w:t>
            </w:r>
          </w:p>
        </w:tc>
        <w:tc>
          <w:tcPr>
            <w:tcW w:w="7280" w:type="dxa"/>
          </w:tcPr>
          <w:p w14:paraId="5493F4CA"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5E6EB92" w14:textId="208CCCA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C8C0132" w14:textId="56E7F7EF" w:rsidTr="00410D3C">
        <w:trPr>
          <w:cantSplit/>
        </w:trPr>
        <w:tc>
          <w:tcPr>
            <w:tcW w:w="7280" w:type="dxa"/>
          </w:tcPr>
          <w:p w14:paraId="4609AF04" w14:textId="1AA35FE6"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lastRenderedPageBreak/>
              <w:t>Question 6.3.2:</w:t>
            </w:r>
            <w:r w:rsidRPr="002444A1">
              <w:rPr>
                <w:rFonts w:asciiTheme="minorHAnsi" w:eastAsiaTheme="minorHAnsi" w:hAnsiTheme="minorHAnsi"/>
                <w:spacing w:val="-1"/>
                <w:sz w:val="22"/>
                <w:szCs w:val="20"/>
              </w:rPr>
              <w:t xml:space="preserve"> Should the Listing Rules impose any constraints on a LIC or LIT from changing its investment mandate (such as a requirement for a certain period of notice before the change is made or that the mandate can only be changed with the approval of its security holders)? If so, what should those constraints be? If not, why not?</w:t>
            </w:r>
          </w:p>
        </w:tc>
        <w:tc>
          <w:tcPr>
            <w:tcW w:w="7280" w:type="dxa"/>
          </w:tcPr>
          <w:p w14:paraId="601C659A"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C1F78FF" w14:textId="20BF25DD"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5EABBC58" w14:textId="7E719B0F" w:rsidTr="00410D3C">
        <w:trPr>
          <w:cantSplit/>
        </w:trPr>
        <w:tc>
          <w:tcPr>
            <w:tcW w:w="7280" w:type="dxa"/>
          </w:tcPr>
          <w:p w14:paraId="2216C5B7" w14:textId="4E75B26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6.3.3:</w:t>
            </w:r>
            <w:r w:rsidRPr="002444A1">
              <w:rPr>
                <w:rFonts w:asciiTheme="minorHAnsi" w:eastAsiaTheme="minorHAnsi" w:hAnsiTheme="minorHAnsi"/>
                <w:spacing w:val="-1"/>
                <w:sz w:val="22"/>
                <w:szCs w:val="20"/>
              </w:rPr>
              <w:t xml:space="preserve"> Should the Listing Rules require a LIC or LIT to advise the market immediately if it materially breaches its investment mandate? If not, why not?</w:t>
            </w:r>
          </w:p>
        </w:tc>
        <w:tc>
          <w:tcPr>
            <w:tcW w:w="7280" w:type="dxa"/>
          </w:tcPr>
          <w:p w14:paraId="3EED0C73"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7569924" w14:textId="6116B36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5E13D9E" w14:textId="003DDC50" w:rsidTr="00410D3C">
        <w:trPr>
          <w:cantSplit/>
        </w:trPr>
        <w:tc>
          <w:tcPr>
            <w:tcW w:w="7280" w:type="dxa"/>
          </w:tcPr>
          <w:p w14:paraId="7D656504" w14:textId="72C54CDD"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6.3.4:</w:t>
            </w:r>
            <w:r w:rsidRPr="002444A1">
              <w:rPr>
                <w:rFonts w:asciiTheme="minorHAnsi" w:eastAsiaTheme="minorHAnsi" w:hAnsiTheme="minorHAnsi"/>
                <w:spacing w:val="-1"/>
                <w:sz w:val="22"/>
                <w:szCs w:val="20"/>
              </w:rPr>
              <w:t xml:space="preserve"> Should the Listing Rules require a LIC or LIT to confirm in its annual report whether it has materially complied with its investment mandate for the financial year and, if it hasn’t, to disclose any material departures from that mandate? If not, why not? If so, should that statement be audited or otherwise verified by an independent third party?</w:t>
            </w:r>
          </w:p>
        </w:tc>
        <w:tc>
          <w:tcPr>
            <w:tcW w:w="7280" w:type="dxa"/>
          </w:tcPr>
          <w:p w14:paraId="59256893" w14:textId="77777777" w:rsidR="000E4D39" w:rsidRPr="00E35C89" w:rsidRDefault="003D6706"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039A18F" w14:textId="5F18E566"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F5519AC" w14:textId="1DF7C325" w:rsidTr="00410D3C">
        <w:trPr>
          <w:cantSplit/>
        </w:trPr>
        <w:tc>
          <w:tcPr>
            <w:tcW w:w="7280" w:type="dxa"/>
          </w:tcPr>
          <w:p w14:paraId="1D05B748" w14:textId="435B425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6.3.5:</w:t>
            </w:r>
            <w:r w:rsidRPr="002444A1">
              <w:rPr>
                <w:rFonts w:asciiTheme="minorHAnsi" w:eastAsiaTheme="minorHAnsi" w:hAnsiTheme="minorHAnsi"/>
                <w:spacing w:val="-1"/>
                <w:sz w:val="22"/>
                <w:szCs w:val="20"/>
              </w:rPr>
              <w:t xml:space="preserve"> Should REITs and IFs also be subject to similar requirements regarding investment mandates as those suggested above for LICs and LITs? If not, why not? If so, why and do those requirements need any customisation to deal with the different attributes of REITs and IFs compared to LICs and LITs?</w:t>
            </w:r>
          </w:p>
        </w:tc>
        <w:tc>
          <w:tcPr>
            <w:tcW w:w="7280" w:type="dxa"/>
          </w:tcPr>
          <w:p w14:paraId="32F8C386"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5061C49" w14:textId="5EC47CE8"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2D45C7EE" w14:textId="1677FF0E" w:rsidTr="00C113C4">
        <w:trPr>
          <w:cantSplit/>
        </w:trPr>
        <w:tc>
          <w:tcPr>
            <w:tcW w:w="14560" w:type="dxa"/>
            <w:gridSpan w:val="2"/>
            <w:shd w:val="clear" w:color="auto" w:fill="F2F2F2" w:themeFill="background1" w:themeFillShade="F2"/>
          </w:tcPr>
          <w:p w14:paraId="14806A18" w14:textId="45CFCF68" w:rsidR="003A1A52" w:rsidRPr="00C113C4" w:rsidRDefault="003A1A52" w:rsidP="002C69E3">
            <w:pPr>
              <w:pStyle w:val="ListBullet"/>
              <w:keepNext/>
              <w:numPr>
                <w:ilvl w:val="0"/>
                <w:numId w:val="0"/>
              </w:numPr>
              <w:spacing w:after="0"/>
              <w:rPr>
                <w:rFonts w:asciiTheme="majorHAnsi" w:hAnsiTheme="majorHAnsi" w:cs="Arial"/>
                <w:b/>
                <w:bCs/>
                <w:color w:val="0070C0"/>
                <w:sz w:val="28"/>
                <w:szCs w:val="28"/>
              </w:rPr>
            </w:pPr>
            <w:r w:rsidRPr="00C113C4">
              <w:rPr>
                <w:rFonts w:asciiTheme="majorHAnsi" w:hAnsiTheme="majorHAnsi" w:cs="Arial"/>
                <w:b/>
                <w:bCs/>
                <w:color w:val="0070C0"/>
                <w:sz w:val="24"/>
                <w:szCs w:val="24"/>
              </w:rPr>
              <w:t>7.2</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Permitted investments</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Acceptable underlying instruments for AQUA Products</w:t>
            </w:r>
          </w:p>
        </w:tc>
      </w:tr>
      <w:tr w:rsidR="00FF1055" w:rsidRPr="002444A1" w14:paraId="79F91BC0" w14:textId="56C50A9C" w:rsidTr="00410D3C">
        <w:trPr>
          <w:cantSplit/>
        </w:trPr>
        <w:tc>
          <w:tcPr>
            <w:tcW w:w="7280" w:type="dxa"/>
          </w:tcPr>
          <w:p w14:paraId="6F7516D0" w14:textId="7550F087" w:rsidR="00FF1055" w:rsidRPr="002444A1" w:rsidRDefault="00FF1055" w:rsidP="00ED258B">
            <w:pPr>
              <w:pStyle w:val="Definitionlist"/>
              <w:spacing w:before="0" w:after="0"/>
              <w:ind w:left="0" w:firstLine="0"/>
              <w:rPr>
                <w:rFonts w:asciiTheme="minorHAnsi" w:eastAsiaTheme="minorHAnsi" w:hAnsiTheme="minorHAnsi"/>
                <w:b/>
                <w:spacing w:val="-1"/>
                <w:sz w:val="22"/>
                <w:szCs w:val="20"/>
              </w:rPr>
            </w:pPr>
            <w:r w:rsidRPr="002444A1">
              <w:rPr>
                <w:rFonts w:asciiTheme="minorHAnsi" w:eastAsiaTheme="minorHAnsi" w:hAnsiTheme="minorHAnsi"/>
                <w:b/>
                <w:color w:val="009FDF" w:themeColor="accent2"/>
                <w:spacing w:val="-1"/>
                <w:sz w:val="22"/>
                <w:szCs w:val="20"/>
              </w:rPr>
              <w:t>Question 7.2.1:</w:t>
            </w:r>
            <w:r w:rsidRPr="002444A1">
              <w:rPr>
                <w:rFonts w:asciiTheme="minorHAnsi" w:eastAsiaTheme="minorHAnsi" w:hAnsiTheme="minorHAnsi"/>
                <w:b/>
                <w:spacing w:val="-1"/>
                <w:sz w:val="22"/>
                <w:szCs w:val="20"/>
              </w:rPr>
              <w:t xml:space="preserve"> </w:t>
            </w:r>
            <w:r w:rsidRPr="002444A1">
              <w:rPr>
                <w:rFonts w:asciiTheme="minorHAnsi" w:eastAsiaTheme="minorHAnsi" w:hAnsiTheme="minorHAnsi"/>
                <w:spacing w:val="-1"/>
                <w:sz w:val="22"/>
                <w:szCs w:val="20"/>
              </w:rPr>
              <w:t>Do you support including in the list of acceptable underlying instruments for AQUA Products any financial product that, in ASX’s opinion, is subject to a reliable and transparent pricing framework? If not, why not?</w:t>
            </w:r>
          </w:p>
        </w:tc>
        <w:tc>
          <w:tcPr>
            <w:tcW w:w="7280" w:type="dxa"/>
          </w:tcPr>
          <w:p w14:paraId="240FA4D9"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034E952" w14:textId="21A723A8"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E18B248" w14:textId="68E7E925" w:rsidTr="00410D3C">
        <w:trPr>
          <w:cantSplit/>
        </w:trPr>
        <w:tc>
          <w:tcPr>
            <w:tcW w:w="7280" w:type="dxa"/>
          </w:tcPr>
          <w:p w14:paraId="64AA8E0F" w14:textId="271D35C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7.2.2:</w:t>
            </w:r>
            <w:r w:rsidRPr="002444A1">
              <w:rPr>
                <w:rFonts w:asciiTheme="minorHAnsi" w:eastAsiaTheme="minorHAnsi" w:hAnsiTheme="minorHAnsi"/>
                <w:b/>
                <w:spacing w:val="-1"/>
                <w:sz w:val="22"/>
                <w:szCs w:val="20"/>
              </w:rPr>
              <w:t xml:space="preserve"> </w:t>
            </w:r>
            <w:r w:rsidRPr="002444A1">
              <w:rPr>
                <w:rFonts w:asciiTheme="minorHAnsi" w:eastAsiaTheme="minorHAnsi" w:hAnsiTheme="minorHAnsi"/>
                <w:spacing w:val="-1"/>
                <w:sz w:val="22"/>
                <w:szCs w:val="20"/>
              </w:rPr>
              <w:t>Are there any other financial products or indices that you consider should be added to the list of acceptable underlying instruments for AQUA Products? If so, please provide details and explain the reasons why.</w:t>
            </w:r>
          </w:p>
        </w:tc>
        <w:tc>
          <w:tcPr>
            <w:tcW w:w="7280" w:type="dxa"/>
          </w:tcPr>
          <w:p w14:paraId="7ADDD887"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3E82209" w14:textId="63DB9B3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5D65BC1" w14:textId="1B6E74D6" w:rsidTr="00410D3C">
        <w:trPr>
          <w:cantSplit/>
        </w:trPr>
        <w:tc>
          <w:tcPr>
            <w:tcW w:w="7280" w:type="dxa"/>
          </w:tcPr>
          <w:p w14:paraId="147C7662" w14:textId="57D4C54F"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7.2.3:</w:t>
            </w:r>
            <w:r w:rsidRPr="002444A1">
              <w:rPr>
                <w:rFonts w:asciiTheme="minorHAnsi" w:eastAsiaTheme="minorHAnsi" w:hAnsiTheme="minorHAnsi"/>
                <w:b/>
                <w:spacing w:val="-1"/>
                <w:sz w:val="22"/>
                <w:szCs w:val="20"/>
              </w:rPr>
              <w:t xml:space="preserve"> </w:t>
            </w:r>
            <w:r w:rsidRPr="002444A1">
              <w:rPr>
                <w:rFonts w:asciiTheme="minorHAnsi" w:eastAsiaTheme="minorHAnsi" w:hAnsiTheme="minorHAnsi"/>
                <w:spacing w:val="-1"/>
                <w:sz w:val="22"/>
                <w:szCs w:val="20"/>
              </w:rPr>
              <w:t>Are there any products currently included in the list of acceptable underlying instruments for AQUA Products that you consider should be excluded? If so, please provide details and explain the reasons why.</w:t>
            </w:r>
          </w:p>
        </w:tc>
        <w:tc>
          <w:tcPr>
            <w:tcW w:w="7280" w:type="dxa"/>
          </w:tcPr>
          <w:p w14:paraId="70A627C3"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784E6BE" w14:textId="1F85F21E"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64F0AAA7" w14:textId="4094FF49" w:rsidTr="00C113C4">
        <w:trPr>
          <w:cantSplit/>
        </w:trPr>
        <w:tc>
          <w:tcPr>
            <w:tcW w:w="14560" w:type="dxa"/>
            <w:gridSpan w:val="2"/>
            <w:shd w:val="clear" w:color="auto" w:fill="F2F2F2" w:themeFill="background1" w:themeFillShade="F2"/>
          </w:tcPr>
          <w:p w14:paraId="2F125B87" w14:textId="79C53876" w:rsidR="003A1A52" w:rsidRPr="00C113C4" w:rsidRDefault="003A1A52"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lastRenderedPageBreak/>
              <w:t>7.3</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Permitted investments</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Acceptable underlying instruments for Warrants</w:t>
            </w:r>
          </w:p>
        </w:tc>
      </w:tr>
      <w:tr w:rsidR="00FF1055" w:rsidRPr="002444A1" w14:paraId="5C99FB63" w14:textId="6E4E12DF" w:rsidTr="00410D3C">
        <w:trPr>
          <w:cantSplit/>
        </w:trPr>
        <w:tc>
          <w:tcPr>
            <w:tcW w:w="7280" w:type="dxa"/>
          </w:tcPr>
          <w:p w14:paraId="7FCFA92C" w14:textId="26DCC84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7.3.1:</w:t>
            </w:r>
            <w:r w:rsidRPr="002444A1">
              <w:rPr>
                <w:rFonts w:asciiTheme="minorHAnsi" w:eastAsiaTheme="minorHAnsi" w:hAnsiTheme="minorHAnsi"/>
                <w:spacing w:val="-1"/>
                <w:sz w:val="22"/>
                <w:szCs w:val="20"/>
              </w:rPr>
              <w:t xml:space="preserve"> Should the Warrant Rules be amended to limit the acceptable underlying instruments for Warrants to the same types of underlying instruments as are acceptable for AQUA Products? If not, why not?</w:t>
            </w:r>
          </w:p>
        </w:tc>
        <w:tc>
          <w:tcPr>
            <w:tcW w:w="7280" w:type="dxa"/>
          </w:tcPr>
          <w:p w14:paraId="51A366A7"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436E421" w14:textId="12AB533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AE1BA0F" w14:textId="08DAAE38" w:rsidTr="00410D3C">
        <w:trPr>
          <w:cantSplit/>
        </w:trPr>
        <w:tc>
          <w:tcPr>
            <w:tcW w:w="7280" w:type="dxa"/>
          </w:tcPr>
          <w:p w14:paraId="1A4DEF4A" w14:textId="36EE741A"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7.3.2:</w:t>
            </w:r>
            <w:r w:rsidRPr="002444A1">
              <w:rPr>
                <w:rFonts w:asciiTheme="minorHAnsi" w:eastAsiaTheme="minorHAnsi" w:hAnsiTheme="minorHAnsi"/>
                <w:b/>
                <w:spacing w:val="-1"/>
                <w:sz w:val="22"/>
                <w:szCs w:val="20"/>
              </w:rPr>
              <w:t xml:space="preserve"> </w:t>
            </w:r>
            <w:r w:rsidRPr="002444A1">
              <w:rPr>
                <w:rFonts w:asciiTheme="minorHAnsi" w:eastAsiaTheme="minorHAnsi" w:hAnsiTheme="minorHAnsi"/>
                <w:spacing w:val="-1"/>
                <w:sz w:val="22"/>
                <w:szCs w:val="20"/>
              </w:rPr>
              <w:t>Are there any other types of products that should be added to the list of acceptable underlying instruments for Warrants?</w:t>
            </w:r>
          </w:p>
        </w:tc>
        <w:tc>
          <w:tcPr>
            <w:tcW w:w="7280" w:type="dxa"/>
          </w:tcPr>
          <w:p w14:paraId="14550921"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85A40DB" w14:textId="2EF551EF"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5122723B" w14:textId="4976F956" w:rsidTr="00C113C4">
        <w:trPr>
          <w:cantSplit/>
        </w:trPr>
        <w:tc>
          <w:tcPr>
            <w:tcW w:w="14560" w:type="dxa"/>
            <w:gridSpan w:val="2"/>
            <w:shd w:val="clear" w:color="auto" w:fill="F2F2F2" w:themeFill="background1" w:themeFillShade="F2"/>
          </w:tcPr>
          <w:p w14:paraId="744821AB" w14:textId="7B1021B4" w:rsidR="003A1A52" w:rsidRPr="00C113C4" w:rsidRDefault="003A1A52"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7.4</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Permitted investments</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Acceptable underlying instruments for Listed Investment Products</w:t>
            </w:r>
          </w:p>
        </w:tc>
      </w:tr>
      <w:tr w:rsidR="00FF1055" w:rsidRPr="002444A1" w14:paraId="5CF80C98" w14:textId="0E409DA0" w:rsidTr="00410D3C">
        <w:trPr>
          <w:cantSplit/>
        </w:trPr>
        <w:tc>
          <w:tcPr>
            <w:tcW w:w="7280" w:type="dxa"/>
          </w:tcPr>
          <w:p w14:paraId="31852C0F" w14:textId="540EB55F" w:rsidR="00FF1055" w:rsidRPr="002444A1" w:rsidRDefault="00FF1055" w:rsidP="00ED258B">
            <w:pPr>
              <w:pStyle w:val="Definitionlist"/>
              <w:spacing w:before="0" w:after="0"/>
              <w:ind w:left="0" w:firstLine="0"/>
              <w:rPr>
                <w:rFonts w:asciiTheme="minorHAnsi" w:hAnsiTheme="minorHAnsi" w:cstheme="minorHAnsi"/>
                <w:sz w:val="22"/>
                <w:szCs w:val="22"/>
              </w:rPr>
            </w:pPr>
            <w:r w:rsidRPr="002444A1">
              <w:rPr>
                <w:rFonts w:asciiTheme="minorHAnsi" w:eastAsiaTheme="minorHAnsi" w:hAnsiTheme="minorHAnsi"/>
                <w:b/>
                <w:color w:val="009FDF" w:themeColor="accent2"/>
                <w:spacing w:val="-1"/>
                <w:sz w:val="22"/>
                <w:szCs w:val="20"/>
              </w:rPr>
              <w:t>Question 7.4.1:</w:t>
            </w:r>
            <w:r w:rsidRPr="002444A1">
              <w:rPr>
                <w:rFonts w:asciiTheme="minorHAnsi" w:eastAsiaTheme="minorHAnsi" w:hAnsiTheme="minorHAnsi"/>
                <w:spacing w:val="-1"/>
                <w:sz w:val="22"/>
                <w:szCs w:val="20"/>
              </w:rPr>
              <w:t xml:space="preserve"> Do you agree that it is not necessary to proscribe the types of underlying assets in which LICs, LITs, REITs and IFs can invest under the Listing Rules beyond what is inherent in the proposed definitions of “financial investment entity”, “real estate investment entity” and “infrastructure investment entity” in sections 2.3 and 2.4 of this paper</w:t>
            </w:r>
            <w:r w:rsidRPr="002444A1">
              <w:rPr>
                <w:rFonts w:asciiTheme="minorHAnsi" w:hAnsiTheme="minorHAnsi" w:cstheme="minorHAnsi"/>
                <w:sz w:val="22"/>
                <w:szCs w:val="22"/>
              </w:rPr>
              <w:t>? If not, why not?</w:t>
            </w:r>
          </w:p>
        </w:tc>
        <w:tc>
          <w:tcPr>
            <w:tcW w:w="7280" w:type="dxa"/>
          </w:tcPr>
          <w:p w14:paraId="4E9FE8EA"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FEBCA61" w14:textId="7A70A61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58A2EAA8" w14:textId="73BFE179" w:rsidTr="00C113C4">
        <w:trPr>
          <w:cantSplit/>
        </w:trPr>
        <w:tc>
          <w:tcPr>
            <w:tcW w:w="14560" w:type="dxa"/>
            <w:gridSpan w:val="2"/>
            <w:shd w:val="clear" w:color="auto" w:fill="F2F2F2" w:themeFill="background1" w:themeFillShade="F2"/>
          </w:tcPr>
          <w:p w14:paraId="2339D0ED" w14:textId="2F032C82" w:rsidR="003A1A52" w:rsidRPr="00C113C4" w:rsidRDefault="003A1A52"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7.5</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Permitted investments</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Feeder-fund structures</w:t>
            </w:r>
          </w:p>
        </w:tc>
      </w:tr>
      <w:tr w:rsidR="00FF1055" w:rsidRPr="002444A1" w14:paraId="14CCDF50" w14:textId="7C10D236" w:rsidTr="00410D3C">
        <w:trPr>
          <w:cantSplit/>
        </w:trPr>
        <w:tc>
          <w:tcPr>
            <w:tcW w:w="7280" w:type="dxa"/>
          </w:tcPr>
          <w:p w14:paraId="7D111E85" w14:textId="4E90F3B8"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7.5.1:</w:t>
            </w:r>
            <w:r w:rsidRPr="002444A1">
              <w:rPr>
                <w:rFonts w:asciiTheme="minorHAnsi" w:eastAsiaTheme="minorHAnsi" w:hAnsiTheme="minorHAnsi"/>
                <w:spacing w:val="-1"/>
                <w:sz w:val="22"/>
                <w:szCs w:val="20"/>
              </w:rPr>
              <w:t xml:space="preserve"> Do you support the rule changes being considered by ASX to deal with feeder funds? If not why not? Are there any other issues with feeder funds that you would like to see addressed in any re-write of the Listing Rules or AQUA Rules</w:t>
            </w:r>
            <w:r w:rsidRPr="002444A1">
              <w:rPr>
                <w:rFonts w:asciiTheme="minorHAnsi" w:hAnsiTheme="minorHAnsi" w:cstheme="minorHAnsi"/>
                <w:sz w:val="22"/>
                <w:szCs w:val="22"/>
              </w:rPr>
              <w:t>?</w:t>
            </w:r>
          </w:p>
        </w:tc>
        <w:tc>
          <w:tcPr>
            <w:tcW w:w="7280" w:type="dxa"/>
          </w:tcPr>
          <w:p w14:paraId="499A33F4"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C5D51B6" w14:textId="0CC0556F"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13670A6E" w14:textId="131482C5" w:rsidTr="00C113C4">
        <w:trPr>
          <w:cantSplit/>
        </w:trPr>
        <w:tc>
          <w:tcPr>
            <w:tcW w:w="14560" w:type="dxa"/>
            <w:gridSpan w:val="2"/>
            <w:shd w:val="clear" w:color="auto" w:fill="F2F2F2" w:themeFill="background1" w:themeFillShade="F2"/>
          </w:tcPr>
          <w:p w14:paraId="14E97644" w14:textId="1F64FB0F" w:rsidR="003A1A52" w:rsidRPr="00C113C4" w:rsidRDefault="003A1A52"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7.6</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Permitted investments</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The use of derivatives</w:t>
            </w:r>
          </w:p>
        </w:tc>
      </w:tr>
      <w:tr w:rsidR="00FF1055" w:rsidRPr="002444A1" w14:paraId="0DF4C79F" w14:textId="5B6AD91B" w:rsidTr="00410D3C">
        <w:trPr>
          <w:cantSplit/>
        </w:trPr>
        <w:tc>
          <w:tcPr>
            <w:tcW w:w="7280" w:type="dxa"/>
          </w:tcPr>
          <w:p w14:paraId="7307D149" w14:textId="2A9B82C6"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7.6.1:</w:t>
            </w:r>
            <w:r w:rsidRPr="002444A1">
              <w:rPr>
                <w:rFonts w:asciiTheme="minorHAnsi" w:eastAsiaTheme="minorHAnsi" w:hAnsiTheme="minorHAnsi"/>
                <w:spacing w:val="-1"/>
                <w:sz w:val="22"/>
                <w:szCs w:val="20"/>
              </w:rPr>
              <w:t xml:space="preserve"> Should the list of acceptable counterparties to an OTC derivative entered into by an AQUA Product issuer be extended to include other types of institutions apart from ADIs, or entities guaranteed by ADIs, in Australia, France, Germany, the Netherlands, Switzerland, the UK or the US? If so, what other types of institutions should be included? If not, why not?</w:t>
            </w:r>
          </w:p>
        </w:tc>
        <w:tc>
          <w:tcPr>
            <w:tcW w:w="7280" w:type="dxa"/>
          </w:tcPr>
          <w:p w14:paraId="72D2DCDB"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D17C8CF" w14:textId="5412DDC6"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9AB3263" w14:textId="047F8B8A" w:rsidTr="00410D3C">
        <w:trPr>
          <w:cantSplit/>
        </w:trPr>
        <w:tc>
          <w:tcPr>
            <w:tcW w:w="7280" w:type="dxa"/>
          </w:tcPr>
          <w:p w14:paraId="029ADA09" w14:textId="09164F66"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lastRenderedPageBreak/>
              <w:t>Question 7.6.2:</w:t>
            </w:r>
            <w:r w:rsidRPr="002444A1">
              <w:rPr>
                <w:rFonts w:asciiTheme="minorHAnsi" w:eastAsiaTheme="minorHAnsi" w:hAnsiTheme="minorHAnsi"/>
                <w:spacing w:val="-1"/>
                <w:sz w:val="22"/>
                <w:szCs w:val="20"/>
              </w:rPr>
              <w:t xml:space="preserve"> Should the list of acceptable assets that can be received by an AQUA Product issuer by way of collateral under an OTC derivative be extended to include other types of assets apart from securities that are constituents of the S&amp;P/ASX 200 index, cash, Australian government debentures or bonds, or the underlying instrument for the AQUA Product? If so, what other types of assets should be included? If not, why not?</w:t>
            </w:r>
          </w:p>
        </w:tc>
        <w:tc>
          <w:tcPr>
            <w:tcW w:w="7280" w:type="dxa"/>
          </w:tcPr>
          <w:p w14:paraId="23931079"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C18D48C" w14:textId="0BBE6E1D"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52BAAADF" w14:textId="4F9EC72A" w:rsidTr="00410D3C">
        <w:trPr>
          <w:cantSplit/>
        </w:trPr>
        <w:tc>
          <w:tcPr>
            <w:tcW w:w="7280" w:type="dxa"/>
          </w:tcPr>
          <w:p w14:paraId="07B8AC67" w14:textId="445A0E8A"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7.6.3:</w:t>
            </w:r>
            <w:r w:rsidRPr="002444A1">
              <w:rPr>
                <w:rFonts w:asciiTheme="minorHAnsi" w:eastAsiaTheme="minorHAnsi" w:hAnsiTheme="minorHAnsi"/>
                <w:spacing w:val="-1"/>
                <w:sz w:val="22"/>
                <w:szCs w:val="20"/>
              </w:rPr>
              <w:t xml:space="preserve"> Should there be similar constraints on the types of assets that can be received by an AQUA Product issuer by way of collateral under a securities lending arrangement or prime brokerage agreement? If so, why? If not, why not?</w:t>
            </w:r>
          </w:p>
        </w:tc>
        <w:tc>
          <w:tcPr>
            <w:tcW w:w="7280" w:type="dxa"/>
          </w:tcPr>
          <w:p w14:paraId="789A9423"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94B7AF7" w14:textId="1E31D3E4"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5BEC0F3" w14:textId="7FB90E00" w:rsidTr="00410D3C">
        <w:trPr>
          <w:cantSplit/>
        </w:trPr>
        <w:tc>
          <w:tcPr>
            <w:tcW w:w="7280" w:type="dxa"/>
          </w:tcPr>
          <w:p w14:paraId="5E3A1830" w14:textId="01F5C6E9"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7.6.4:</w:t>
            </w:r>
            <w:r w:rsidRPr="002444A1">
              <w:rPr>
                <w:rFonts w:asciiTheme="minorHAnsi" w:eastAsiaTheme="minorHAnsi" w:hAnsiTheme="minorHAnsi"/>
                <w:spacing w:val="-1"/>
                <w:sz w:val="22"/>
                <w:szCs w:val="20"/>
              </w:rPr>
              <w:t xml:space="preserve"> Are there any other issues with the provisions in the AQUA Rules regulating the use of OTC derivatives that you would like to see addressed in any re-write of the AQUA Rules? If so, please provide details and explain the reasons why.</w:t>
            </w:r>
          </w:p>
        </w:tc>
        <w:tc>
          <w:tcPr>
            <w:tcW w:w="7280" w:type="dxa"/>
          </w:tcPr>
          <w:p w14:paraId="69ACC88C"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95AFFA5" w14:textId="056E0B1B"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59397815" w14:textId="330E61A4" w:rsidTr="00C113C4">
        <w:trPr>
          <w:cantSplit/>
        </w:trPr>
        <w:tc>
          <w:tcPr>
            <w:tcW w:w="14560" w:type="dxa"/>
            <w:gridSpan w:val="2"/>
            <w:shd w:val="clear" w:color="auto" w:fill="F2F2F2" w:themeFill="background1" w:themeFillShade="F2"/>
          </w:tcPr>
          <w:p w14:paraId="49C49E6E" w14:textId="15926120" w:rsidR="003A1A52" w:rsidRPr="00C113C4" w:rsidRDefault="003A1A52"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7.7</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Permitted investments</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Ancillary liquid assets and incidental investments</w:t>
            </w:r>
          </w:p>
        </w:tc>
      </w:tr>
      <w:tr w:rsidR="00FF1055" w:rsidRPr="002444A1" w14:paraId="56CFA21D" w14:textId="16FEB13D" w:rsidTr="00410D3C">
        <w:trPr>
          <w:cantSplit/>
        </w:trPr>
        <w:tc>
          <w:tcPr>
            <w:tcW w:w="7280" w:type="dxa"/>
          </w:tcPr>
          <w:p w14:paraId="0CC0AD93" w14:textId="582913CF"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7.7.1:</w:t>
            </w:r>
            <w:r w:rsidRPr="002444A1">
              <w:rPr>
                <w:rFonts w:asciiTheme="minorHAnsi" w:eastAsiaTheme="minorHAnsi" w:hAnsiTheme="minorHAnsi"/>
                <w:spacing w:val="-1"/>
                <w:sz w:val="22"/>
                <w:szCs w:val="20"/>
              </w:rPr>
              <w:t xml:space="preserve"> Do you support the introduction of provisions into the AQUA Rules to recognise that from time to time an AQUA Product issuer may hold ancillary liquid assets or incidental investments that are not directly related to achieving its investment objective? If so, how would you frame those rules? If not, why not?</w:t>
            </w:r>
          </w:p>
        </w:tc>
        <w:tc>
          <w:tcPr>
            <w:tcW w:w="7280" w:type="dxa"/>
          </w:tcPr>
          <w:p w14:paraId="14C3E27D"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3E22B61" w14:textId="55901D60"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511E5CC2" w14:textId="56A7073F" w:rsidTr="00410D3C">
        <w:trPr>
          <w:cantSplit/>
        </w:trPr>
        <w:tc>
          <w:tcPr>
            <w:tcW w:w="7280" w:type="dxa"/>
          </w:tcPr>
          <w:p w14:paraId="768B17D6" w14:textId="4EC803BD"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7.7.2:</w:t>
            </w:r>
            <w:r w:rsidRPr="002444A1">
              <w:rPr>
                <w:rFonts w:asciiTheme="minorHAnsi" w:eastAsiaTheme="minorHAnsi" w:hAnsiTheme="minorHAnsi"/>
                <w:spacing w:val="-1"/>
                <w:sz w:val="22"/>
                <w:szCs w:val="20"/>
              </w:rPr>
              <w:t xml:space="preserve"> Do you think there should be a limit on the amount (eg a maximum percentage of the underlying fund) that an AQUA Product issuer can hold in the form of ancillary liquid assets? If so, what should that limit be? If not, why not?</w:t>
            </w:r>
          </w:p>
        </w:tc>
        <w:tc>
          <w:tcPr>
            <w:tcW w:w="7280" w:type="dxa"/>
          </w:tcPr>
          <w:p w14:paraId="53835EB2"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0CDE203" w14:textId="792D222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44E485E" w14:textId="55647D08" w:rsidTr="00410D3C">
        <w:trPr>
          <w:cantSplit/>
        </w:trPr>
        <w:tc>
          <w:tcPr>
            <w:tcW w:w="7280" w:type="dxa"/>
          </w:tcPr>
          <w:p w14:paraId="14D96D99" w14:textId="387BEF0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7.7.3:</w:t>
            </w:r>
            <w:r w:rsidRPr="002444A1">
              <w:rPr>
                <w:rFonts w:asciiTheme="minorHAnsi" w:eastAsiaTheme="minorHAnsi" w:hAnsiTheme="minorHAnsi"/>
                <w:spacing w:val="-1"/>
                <w:sz w:val="22"/>
                <w:szCs w:val="20"/>
              </w:rPr>
              <w:t xml:space="preserve"> Do you think there should be a limit on the time that an AQUA Product issuer can hold incidental non-complying investments before they are replaced by investments consistent with its investment mandate? If so, what should that limit be? If not, why not?</w:t>
            </w:r>
          </w:p>
        </w:tc>
        <w:tc>
          <w:tcPr>
            <w:tcW w:w="7280" w:type="dxa"/>
          </w:tcPr>
          <w:p w14:paraId="25F9DBA5"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B1D83FC" w14:textId="54F3BF2C"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AD736D8" w14:textId="065D197E" w:rsidTr="00C113C4">
        <w:trPr>
          <w:cantSplit/>
        </w:trPr>
        <w:tc>
          <w:tcPr>
            <w:tcW w:w="14560" w:type="dxa"/>
            <w:gridSpan w:val="2"/>
            <w:shd w:val="clear" w:color="auto" w:fill="F2F2F2" w:themeFill="background1" w:themeFillShade="F2"/>
          </w:tcPr>
          <w:p w14:paraId="3CA79A11" w14:textId="2C7E6863" w:rsidR="003A1A52" w:rsidRPr="00C113C4" w:rsidRDefault="003A1A52" w:rsidP="00ED258B">
            <w:pPr>
              <w:pStyle w:val="ListBullet"/>
              <w:keepNext/>
              <w:spacing w:after="0"/>
              <w:ind w:left="0"/>
              <w:rPr>
                <w:rFonts w:asciiTheme="majorHAnsi" w:hAnsiTheme="majorHAnsi" w:cs="Arial"/>
                <w:b/>
                <w:bCs/>
                <w:color w:val="0070C0"/>
                <w:sz w:val="28"/>
                <w:szCs w:val="28"/>
              </w:rPr>
            </w:pPr>
            <w:r w:rsidRPr="00C113C4">
              <w:rPr>
                <w:rFonts w:asciiTheme="majorHAnsi" w:hAnsiTheme="majorHAnsi" w:cs="Arial"/>
                <w:b/>
                <w:bCs/>
                <w:color w:val="0070C0"/>
                <w:sz w:val="24"/>
                <w:szCs w:val="24"/>
              </w:rPr>
              <w:lastRenderedPageBreak/>
              <w:t>8.2</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Portfolio disclosure</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Listed Investment Product portfolio disclosure requirements</w:t>
            </w:r>
          </w:p>
        </w:tc>
      </w:tr>
      <w:tr w:rsidR="00FF1055" w:rsidRPr="002444A1" w14:paraId="12D668C9" w14:textId="0CD1E30E" w:rsidTr="00410D3C">
        <w:trPr>
          <w:cantSplit/>
        </w:trPr>
        <w:tc>
          <w:tcPr>
            <w:tcW w:w="7280" w:type="dxa"/>
          </w:tcPr>
          <w:p w14:paraId="377B5E1E" w14:textId="46F44462"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8.2.1:</w:t>
            </w:r>
            <w:r w:rsidRPr="002444A1">
              <w:rPr>
                <w:rFonts w:asciiTheme="minorHAnsi" w:eastAsiaTheme="minorHAnsi" w:hAnsiTheme="minorHAnsi"/>
                <w:spacing w:val="-1"/>
                <w:sz w:val="22"/>
                <w:szCs w:val="20"/>
              </w:rPr>
              <w:t xml:space="preserve"> Do you support replacing the requirement for LICs and LITs to disclose in their annual report a list of all of their investments, with a requirement that they instead disclose this information on a quarterly basis by no later than the end of the month after quarter end? If so, why? If not, why not?</w:t>
            </w:r>
          </w:p>
        </w:tc>
        <w:tc>
          <w:tcPr>
            <w:tcW w:w="7280" w:type="dxa"/>
          </w:tcPr>
          <w:p w14:paraId="59DF3AA7"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B00553E" w14:textId="24728EDB"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53B664F" w14:textId="06D31E78" w:rsidTr="00410D3C">
        <w:trPr>
          <w:cantSplit/>
        </w:trPr>
        <w:tc>
          <w:tcPr>
            <w:tcW w:w="7280" w:type="dxa"/>
          </w:tcPr>
          <w:p w14:paraId="467EB039" w14:textId="73A58909"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8.2.2:</w:t>
            </w:r>
            <w:r w:rsidRPr="002444A1">
              <w:rPr>
                <w:rFonts w:asciiTheme="minorHAnsi" w:eastAsiaTheme="minorHAnsi" w:hAnsiTheme="minorHAnsi"/>
                <w:b/>
                <w:spacing w:val="-1"/>
                <w:sz w:val="22"/>
                <w:szCs w:val="20"/>
              </w:rPr>
              <w:t xml:space="preserve"> </w:t>
            </w:r>
            <w:r w:rsidRPr="002444A1">
              <w:rPr>
                <w:rFonts w:asciiTheme="minorHAnsi" w:eastAsiaTheme="minorHAnsi" w:hAnsiTheme="minorHAnsi"/>
                <w:spacing w:val="-1"/>
                <w:sz w:val="22"/>
                <w:szCs w:val="20"/>
              </w:rPr>
              <w:t>Do you have any thoughts on the guidance that ASX should give to the market on the level of detail that should be included in periodic disclosures by LICs and LITs of their investment portfolio? If so, please tell us.</w:t>
            </w:r>
          </w:p>
        </w:tc>
        <w:tc>
          <w:tcPr>
            <w:tcW w:w="7280" w:type="dxa"/>
          </w:tcPr>
          <w:p w14:paraId="77B3A348"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C448748" w14:textId="46EC70E4"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267952E2" w14:textId="1C06BD02" w:rsidTr="00410D3C">
        <w:trPr>
          <w:cantSplit/>
        </w:trPr>
        <w:tc>
          <w:tcPr>
            <w:tcW w:w="7280" w:type="dxa"/>
          </w:tcPr>
          <w:p w14:paraId="52D091E1" w14:textId="56743406" w:rsidR="00FF1055" w:rsidRPr="002444A1" w:rsidRDefault="00FF1055" w:rsidP="00ED258B">
            <w:pPr>
              <w:pStyle w:val="Definitionlist"/>
              <w:spacing w:before="0" w:after="0"/>
              <w:ind w:left="0" w:firstLine="0"/>
              <w:rPr>
                <w:rFonts w:eastAsiaTheme="minorHAnsi"/>
              </w:rPr>
            </w:pPr>
            <w:r w:rsidRPr="002444A1">
              <w:rPr>
                <w:rFonts w:asciiTheme="minorHAnsi" w:eastAsiaTheme="minorHAnsi" w:hAnsiTheme="minorHAnsi"/>
                <w:b/>
                <w:color w:val="009FDF" w:themeColor="accent2"/>
                <w:spacing w:val="-1"/>
                <w:sz w:val="22"/>
                <w:szCs w:val="20"/>
              </w:rPr>
              <w:t>Question 8.2.3:</w:t>
            </w:r>
            <w:r w:rsidRPr="002444A1">
              <w:rPr>
                <w:rFonts w:asciiTheme="minorHAnsi" w:eastAsiaTheme="minorHAnsi" w:hAnsiTheme="minorHAnsi"/>
                <w:spacing w:val="-1"/>
                <w:sz w:val="22"/>
                <w:szCs w:val="20"/>
              </w:rPr>
              <w:t xml:space="preserve"> Do you agree with ASX’s position that </w:t>
            </w:r>
            <w:r w:rsidRPr="002444A1">
              <w:rPr>
                <w:rFonts w:asciiTheme="minorHAnsi" w:eastAsiaTheme="minorHAnsi" w:hAnsiTheme="minorHAnsi" w:cstheme="minorHAnsi"/>
                <w:spacing w:val="-1"/>
                <w:sz w:val="22"/>
                <w:szCs w:val="22"/>
              </w:rPr>
              <w:t>REITs and IFs should not be subject to any additional portfolio disclosure requirements and should be treated on the same footing as other (non-investment) listed entities in this regard?</w:t>
            </w:r>
            <w:r w:rsidRPr="002444A1">
              <w:rPr>
                <w:rFonts w:asciiTheme="minorHAnsi" w:eastAsiaTheme="minorHAnsi" w:hAnsiTheme="minorHAnsi"/>
                <w:spacing w:val="-1"/>
                <w:sz w:val="22"/>
                <w:szCs w:val="20"/>
              </w:rPr>
              <w:t xml:space="preserve"> If not, why not?</w:t>
            </w:r>
          </w:p>
        </w:tc>
        <w:tc>
          <w:tcPr>
            <w:tcW w:w="7280" w:type="dxa"/>
          </w:tcPr>
          <w:p w14:paraId="0EE4A6E8"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98DC646" w14:textId="390BA5CE"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5F300B72" w14:textId="5EFC4F62" w:rsidTr="00C113C4">
        <w:trPr>
          <w:cantSplit/>
        </w:trPr>
        <w:tc>
          <w:tcPr>
            <w:tcW w:w="14560" w:type="dxa"/>
            <w:gridSpan w:val="2"/>
            <w:shd w:val="clear" w:color="auto" w:fill="F2F2F2" w:themeFill="background1" w:themeFillShade="F2"/>
          </w:tcPr>
          <w:p w14:paraId="107E4848" w14:textId="3F8B8924" w:rsidR="003A1A52" w:rsidRPr="00C113C4" w:rsidRDefault="003A1A52"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8.3</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Portfolio disclosure</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AQUA Product portfolio disclosure requirements</w:t>
            </w:r>
          </w:p>
        </w:tc>
      </w:tr>
      <w:tr w:rsidR="00FF1055" w:rsidRPr="002444A1" w14:paraId="5241EE86" w14:textId="57A7B84A" w:rsidTr="00410D3C">
        <w:trPr>
          <w:cantSplit/>
        </w:trPr>
        <w:tc>
          <w:tcPr>
            <w:tcW w:w="7280" w:type="dxa"/>
          </w:tcPr>
          <w:p w14:paraId="5133FB71" w14:textId="4DF47C88"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8.3.1:</w:t>
            </w:r>
            <w:r w:rsidRPr="002444A1">
              <w:rPr>
                <w:rFonts w:asciiTheme="minorHAnsi" w:eastAsiaTheme="minorHAnsi" w:hAnsiTheme="minorHAnsi"/>
                <w:spacing w:val="-1"/>
                <w:sz w:val="22"/>
                <w:szCs w:val="20"/>
              </w:rPr>
              <w:t xml:space="preserve"> Would you support </w:t>
            </w:r>
            <w:r w:rsidRPr="002444A1">
              <w:rPr>
                <w:rFonts w:asciiTheme="minorHAnsi" w:hAnsiTheme="minorHAnsi" w:cstheme="minorHAnsi"/>
                <w:sz w:val="22"/>
                <w:szCs w:val="22"/>
              </w:rPr>
              <w:t>shortening the period that an ETP with internal market making arrangements can delay disclosing its portfolio from up to 2 months after quarter end to one month after quarter end</w:t>
            </w:r>
            <w:r w:rsidRPr="002444A1">
              <w:rPr>
                <w:rFonts w:asciiTheme="minorHAnsi" w:eastAsiaTheme="minorHAnsi" w:hAnsiTheme="minorHAnsi"/>
                <w:spacing w:val="-1"/>
                <w:sz w:val="22"/>
                <w:szCs w:val="20"/>
              </w:rPr>
              <w:t>?</w:t>
            </w:r>
            <w:r w:rsidRPr="002444A1">
              <w:rPr>
                <w:rFonts w:asciiTheme="minorHAnsi" w:eastAsiaTheme="minorHAnsi" w:hAnsiTheme="minorHAnsi" w:cstheme="minorHAnsi"/>
                <w:spacing w:val="-1"/>
                <w:sz w:val="22"/>
                <w:szCs w:val="22"/>
              </w:rPr>
              <w:t xml:space="preserve"> If so, why? If not, why not?</w:t>
            </w:r>
          </w:p>
        </w:tc>
        <w:tc>
          <w:tcPr>
            <w:tcW w:w="7280" w:type="dxa"/>
          </w:tcPr>
          <w:p w14:paraId="61E872D2"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855C952" w14:textId="4F11334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2E5DCE8F" w14:textId="6E1931D7" w:rsidTr="00410D3C">
        <w:trPr>
          <w:cantSplit/>
        </w:trPr>
        <w:tc>
          <w:tcPr>
            <w:tcW w:w="7280" w:type="dxa"/>
          </w:tcPr>
          <w:p w14:paraId="466867AA" w14:textId="4D41383D"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8.3.2:</w:t>
            </w:r>
            <w:r w:rsidRPr="002444A1">
              <w:rPr>
                <w:rFonts w:asciiTheme="minorHAnsi" w:eastAsiaTheme="minorHAnsi" w:hAnsiTheme="minorHAnsi"/>
                <w:spacing w:val="-1"/>
                <w:sz w:val="22"/>
                <w:szCs w:val="20"/>
              </w:rPr>
              <w:t xml:space="preserve"> Do you support the introduction of an AQUA Rule requiring an ETF, ETMF, or </w:t>
            </w:r>
            <w:r w:rsidRPr="002444A1">
              <w:rPr>
                <w:rFonts w:asciiTheme="minorHAnsi" w:hAnsiTheme="minorHAnsi" w:cstheme="minorHAnsi"/>
                <w:sz w:val="22"/>
                <w:szCs w:val="22"/>
              </w:rPr>
              <w:t xml:space="preserve">ETSP that takes the form of a Collective Investment Product </w:t>
            </w:r>
            <w:r w:rsidRPr="002444A1">
              <w:rPr>
                <w:rFonts w:asciiTheme="minorHAnsi" w:eastAsiaTheme="minorHAnsi" w:hAnsiTheme="minorHAnsi"/>
                <w:spacing w:val="-1"/>
                <w:sz w:val="22"/>
                <w:szCs w:val="20"/>
              </w:rPr>
              <w:t xml:space="preserve">to disclose </w:t>
            </w:r>
            <w:r w:rsidRPr="002444A1">
              <w:rPr>
                <w:rFonts w:asciiTheme="minorHAnsi" w:eastAsiaTheme="minorHAnsi" w:hAnsiTheme="minorHAnsi" w:cstheme="minorHAnsi"/>
                <w:spacing w:val="-1"/>
                <w:sz w:val="22"/>
                <w:szCs w:val="22"/>
              </w:rPr>
              <w:t xml:space="preserve">the level 1, level 2 and level 3 inputs it uses to value its investments in accordance with Australian Accounting Standard AASB 13 </w:t>
            </w:r>
            <w:r w:rsidRPr="002444A1">
              <w:rPr>
                <w:rFonts w:asciiTheme="minorHAnsi" w:eastAsiaTheme="minorHAnsi" w:hAnsiTheme="minorHAnsi" w:cstheme="minorHAnsi"/>
                <w:i/>
                <w:spacing w:val="-1"/>
                <w:sz w:val="22"/>
                <w:szCs w:val="22"/>
              </w:rPr>
              <w:t>Fair Value Measurement</w:t>
            </w:r>
            <w:r w:rsidRPr="002444A1">
              <w:rPr>
                <w:rFonts w:asciiTheme="minorHAnsi" w:eastAsiaTheme="minorHAnsi" w:hAnsiTheme="minorHAnsi"/>
                <w:spacing w:val="-1"/>
                <w:sz w:val="22"/>
                <w:szCs w:val="20"/>
              </w:rPr>
              <w:t xml:space="preserve"> (or its equivalent overseas) in its annual financial statements. If not, why not?</w:t>
            </w:r>
          </w:p>
        </w:tc>
        <w:tc>
          <w:tcPr>
            <w:tcW w:w="7280" w:type="dxa"/>
          </w:tcPr>
          <w:p w14:paraId="01D6534F"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79A0A40" w14:textId="14FB256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64E342B6" w14:textId="4B8830E9" w:rsidTr="00C113C4">
        <w:trPr>
          <w:cantSplit/>
        </w:trPr>
        <w:tc>
          <w:tcPr>
            <w:tcW w:w="14560" w:type="dxa"/>
            <w:gridSpan w:val="2"/>
            <w:shd w:val="clear" w:color="auto" w:fill="F2F2F2" w:themeFill="background1" w:themeFillShade="F2"/>
          </w:tcPr>
          <w:p w14:paraId="42C9378E" w14:textId="72221ACB" w:rsidR="003A1A52" w:rsidRPr="00C113C4" w:rsidRDefault="003A1A52" w:rsidP="00ED258B">
            <w:pPr>
              <w:pStyle w:val="ListBullet"/>
              <w:keepNext/>
              <w:spacing w:after="0"/>
              <w:ind w:left="0"/>
              <w:rPr>
                <w:rFonts w:asciiTheme="majorHAnsi" w:hAnsiTheme="majorHAnsi" w:cs="Arial"/>
                <w:b/>
                <w:bCs/>
                <w:color w:val="0070C0"/>
                <w:sz w:val="28"/>
                <w:szCs w:val="28"/>
              </w:rPr>
            </w:pPr>
            <w:r w:rsidRPr="00C113C4">
              <w:rPr>
                <w:rFonts w:asciiTheme="majorHAnsi" w:hAnsiTheme="majorHAnsi" w:cs="Arial"/>
                <w:b/>
                <w:bCs/>
                <w:color w:val="0070C0"/>
                <w:sz w:val="24"/>
                <w:szCs w:val="24"/>
              </w:rPr>
              <w:lastRenderedPageBreak/>
              <w:t>9.2</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Management agreements</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Listed Investment Product management agreements</w:t>
            </w:r>
          </w:p>
        </w:tc>
      </w:tr>
      <w:tr w:rsidR="00FF1055" w:rsidRPr="002444A1" w14:paraId="3797D616" w14:textId="6E88FA55" w:rsidTr="00410D3C">
        <w:trPr>
          <w:cantSplit/>
        </w:trPr>
        <w:tc>
          <w:tcPr>
            <w:tcW w:w="7280" w:type="dxa"/>
          </w:tcPr>
          <w:p w14:paraId="44316FB9" w14:textId="2A14440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9.2.1:</w:t>
            </w:r>
            <w:r w:rsidRPr="002444A1">
              <w:rPr>
                <w:rFonts w:asciiTheme="minorHAnsi" w:eastAsiaTheme="minorHAnsi" w:hAnsiTheme="minorHAnsi"/>
                <w:spacing w:val="-1"/>
                <w:sz w:val="22"/>
                <w:szCs w:val="20"/>
              </w:rPr>
              <w:t xml:space="preserve"> Should the Listing Rules require a listed entity (including, but not limited to, a LIC, LIT, REIT or IF) to immediately disclose to ASX the material terms of any new management agreement it enters into and also any material variation to an existing management agreement? If not, why not?</w:t>
            </w:r>
          </w:p>
        </w:tc>
        <w:tc>
          <w:tcPr>
            <w:tcW w:w="7280" w:type="dxa"/>
          </w:tcPr>
          <w:p w14:paraId="6FE93222"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7F88A10" w14:textId="5299C361"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F4CED96" w14:textId="34D552F7" w:rsidTr="00410D3C">
        <w:trPr>
          <w:cantSplit/>
        </w:trPr>
        <w:tc>
          <w:tcPr>
            <w:tcW w:w="7280" w:type="dxa"/>
          </w:tcPr>
          <w:p w14:paraId="56FCE794" w14:textId="1BD9347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9.2.2:</w:t>
            </w:r>
            <w:r w:rsidRPr="002444A1">
              <w:rPr>
                <w:rFonts w:asciiTheme="minorHAnsi" w:eastAsiaTheme="minorHAnsi" w:hAnsiTheme="minorHAnsi"/>
                <w:spacing w:val="-1"/>
                <w:sz w:val="22"/>
                <w:szCs w:val="20"/>
              </w:rPr>
              <w:t xml:space="preserve"> Should the requirement for LICs and LITs to include in their annual report a summary of any management agreement that they have entered into be extended to all listed entities, including REITs and IFs? If not, why not?</w:t>
            </w:r>
          </w:p>
        </w:tc>
        <w:tc>
          <w:tcPr>
            <w:tcW w:w="7280" w:type="dxa"/>
          </w:tcPr>
          <w:p w14:paraId="4434FE28"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6DCAEAF" w14:textId="379AAEE9"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492C0E7" w14:textId="0B26716E" w:rsidTr="00410D3C">
        <w:trPr>
          <w:cantSplit/>
        </w:trPr>
        <w:tc>
          <w:tcPr>
            <w:tcW w:w="7280" w:type="dxa"/>
          </w:tcPr>
          <w:p w14:paraId="05435EA6" w14:textId="3DA9A316"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9.2.3:</w:t>
            </w:r>
            <w:r w:rsidRPr="002444A1">
              <w:rPr>
                <w:rFonts w:asciiTheme="minorHAnsi" w:eastAsiaTheme="minorHAnsi" w:hAnsiTheme="minorHAnsi"/>
                <w:spacing w:val="-1"/>
                <w:sz w:val="22"/>
                <w:szCs w:val="20"/>
              </w:rPr>
              <w:t xml:space="preserve"> Should the constraints imposed by Listing Rule 15.6 on the terms LICs and LITs must include in any management agreement they enter into be extended to all listed entities, including REITs and IFs? If not, why not?</w:t>
            </w:r>
          </w:p>
        </w:tc>
        <w:tc>
          <w:tcPr>
            <w:tcW w:w="7280" w:type="dxa"/>
          </w:tcPr>
          <w:p w14:paraId="49E07EAF"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CDA3431" w14:textId="50C8FEB6"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308A5E85" w14:textId="3A113496" w:rsidTr="00C113C4">
        <w:trPr>
          <w:cantSplit/>
        </w:trPr>
        <w:tc>
          <w:tcPr>
            <w:tcW w:w="14560" w:type="dxa"/>
            <w:gridSpan w:val="2"/>
            <w:shd w:val="clear" w:color="auto" w:fill="F2F2F2" w:themeFill="background1" w:themeFillShade="F2"/>
          </w:tcPr>
          <w:p w14:paraId="411B30D7" w14:textId="173B81AB" w:rsidR="003A1A52" w:rsidRPr="00C113C4" w:rsidRDefault="003A1A52"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9.3</w:t>
            </w:r>
            <w:r w:rsidRPr="00C113C4">
              <w:rPr>
                <w:rFonts w:asciiTheme="majorHAnsi" w:hAnsiTheme="majorHAnsi" w:cs="Arial"/>
                <w:b/>
                <w:bCs/>
                <w:color w:val="0070C0"/>
                <w:sz w:val="24"/>
                <w:szCs w:val="24"/>
              </w:rPr>
              <w:tab/>
            </w:r>
            <w:r w:rsidR="002C69E3" w:rsidRPr="002C69E3">
              <w:rPr>
                <w:rFonts w:asciiTheme="majorHAnsi" w:hAnsiTheme="majorHAnsi" w:cs="Arial"/>
                <w:b/>
                <w:bCs/>
                <w:color w:val="0070C0"/>
                <w:sz w:val="24"/>
                <w:szCs w:val="24"/>
              </w:rPr>
              <w:t>Management agreements</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AQUA Product management agreements</w:t>
            </w:r>
          </w:p>
        </w:tc>
      </w:tr>
      <w:tr w:rsidR="00FF1055" w:rsidRPr="002444A1" w14:paraId="378D5F09" w14:textId="4B2D737C" w:rsidTr="00410D3C">
        <w:trPr>
          <w:cantSplit/>
        </w:trPr>
        <w:tc>
          <w:tcPr>
            <w:tcW w:w="7280" w:type="dxa"/>
          </w:tcPr>
          <w:p w14:paraId="4758DFC5" w14:textId="77389A75"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9.3.1:</w:t>
            </w:r>
            <w:r w:rsidRPr="002444A1">
              <w:rPr>
                <w:rFonts w:asciiTheme="minorHAnsi" w:eastAsiaTheme="minorHAnsi" w:hAnsiTheme="minorHAnsi"/>
                <w:spacing w:val="-1"/>
                <w:sz w:val="22"/>
                <w:szCs w:val="20"/>
              </w:rPr>
              <w:t xml:space="preserve"> Do you agree that the AQUA Rules should require an AQUA Product issuer to immediately disclose to ASX the material terms of any new management agreement it enters into and also any material variation to an existing management agreement? If not, why not?</w:t>
            </w:r>
          </w:p>
        </w:tc>
        <w:tc>
          <w:tcPr>
            <w:tcW w:w="7280" w:type="dxa"/>
          </w:tcPr>
          <w:p w14:paraId="36107E68"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9B42B8C" w14:textId="74BA9C71"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66B4FB73" w14:textId="7FF768FB" w:rsidTr="00410D3C">
        <w:trPr>
          <w:cantSplit/>
        </w:trPr>
        <w:tc>
          <w:tcPr>
            <w:tcW w:w="7280" w:type="dxa"/>
          </w:tcPr>
          <w:p w14:paraId="4583A746" w14:textId="20A85924"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9.3.2:</w:t>
            </w:r>
            <w:r w:rsidRPr="002444A1">
              <w:rPr>
                <w:rFonts w:asciiTheme="minorHAnsi" w:eastAsiaTheme="minorHAnsi" w:hAnsiTheme="minorHAnsi"/>
                <w:spacing w:val="-1"/>
                <w:sz w:val="22"/>
                <w:szCs w:val="20"/>
              </w:rPr>
              <w:t xml:space="preserve"> Do you agree that the AQUA Rules should require an AQUA Product issuer to include in its annual report a summary of any management agreement that it has entered into? If not, why not?</w:t>
            </w:r>
          </w:p>
        </w:tc>
        <w:tc>
          <w:tcPr>
            <w:tcW w:w="7280" w:type="dxa"/>
          </w:tcPr>
          <w:p w14:paraId="0A2EDA06"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1835E31" w14:textId="1569780A"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7413A1FF" w14:textId="37C16521" w:rsidTr="00C113C4">
        <w:trPr>
          <w:cantSplit/>
        </w:trPr>
        <w:tc>
          <w:tcPr>
            <w:tcW w:w="14560" w:type="dxa"/>
            <w:gridSpan w:val="2"/>
            <w:shd w:val="clear" w:color="auto" w:fill="F2F2F2" w:themeFill="background1" w:themeFillShade="F2"/>
          </w:tcPr>
          <w:p w14:paraId="115168F9" w14:textId="4AE951A0" w:rsidR="003A1A52" w:rsidRPr="00C113C4" w:rsidRDefault="003A1A52" w:rsidP="00ED258B">
            <w:pPr>
              <w:pStyle w:val="ListBullet"/>
              <w:keepNext/>
              <w:spacing w:after="0"/>
              <w:ind w:left="0"/>
              <w:rPr>
                <w:rFonts w:asciiTheme="majorHAnsi" w:hAnsiTheme="majorHAnsi" w:cs="Arial"/>
                <w:b/>
                <w:bCs/>
                <w:color w:val="0070C0"/>
                <w:sz w:val="28"/>
                <w:szCs w:val="28"/>
              </w:rPr>
            </w:pPr>
            <w:r w:rsidRPr="00C113C4">
              <w:rPr>
                <w:rFonts w:asciiTheme="majorHAnsi" w:hAnsiTheme="majorHAnsi" w:cs="Arial"/>
                <w:b/>
                <w:bCs/>
                <w:color w:val="0070C0"/>
                <w:sz w:val="24"/>
                <w:szCs w:val="24"/>
              </w:rPr>
              <w:t>10.2</w:t>
            </w:r>
            <w:r w:rsidRPr="00C113C4">
              <w:rPr>
                <w:rFonts w:asciiTheme="majorHAnsi" w:hAnsiTheme="majorHAnsi" w:cs="Arial"/>
                <w:b/>
                <w:bCs/>
                <w:color w:val="0070C0"/>
                <w:sz w:val="24"/>
                <w:szCs w:val="24"/>
              </w:rPr>
              <w:tab/>
            </w:r>
            <w:r w:rsidR="002C69E3" w:rsidRPr="00042554">
              <w:rPr>
                <w:rFonts w:asciiTheme="majorHAnsi" w:hAnsiTheme="majorHAnsi" w:cs="Arial"/>
                <w:b/>
                <w:bCs/>
                <w:color w:val="0070C0"/>
                <w:sz w:val="24"/>
                <w:szCs w:val="24"/>
              </w:rPr>
              <w:t>Management fees and costs</w:t>
            </w:r>
            <w:r w:rsidR="002C69E3" w:rsidRPr="00C113C4">
              <w:rPr>
                <w:rFonts w:asciiTheme="majorHAnsi" w:hAnsiTheme="majorHAnsi" w:cs="Arial"/>
                <w:b/>
                <w:bCs/>
                <w:color w:val="0070C0"/>
                <w:sz w:val="24"/>
                <w:szCs w:val="24"/>
              </w:rPr>
              <w:t xml:space="preserve"> </w:t>
            </w:r>
            <w:r w:rsidR="002C69E3">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LIC management fees and costs</w:t>
            </w:r>
          </w:p>
        </w:tc>
      </w:tr>
      <w:tr w:rsidR="00FF1055" w:rsidRPr="002444A1" w14:paraId="1D176CD2" w14:textId="3F074602" w:rsidTr="00410D3C">
        <w:trPr>
          <w:cantSplit/>
        </w:trPr>
        <w:tc>
          <w:tcPr>
            <w:tcW w:w="7280" w:type="dxa"/>
          </w:tcPr>
          <w:p w14:paraId="3428D245" w14:textId="3E0CD52C"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10.2.1:</w:t>
            </w:r>
            <w:r w:rsidRPr="002444A1">
              <w:rPr>
                <w:rFonts w:asciiTheme="minorHAnsi" w:eastAsiaTheme="minorHAnsi" w:hAnsiTheme="minorHAnsi"/>
                <w:spacing w:val="-1"/>
                <w:sz w:val="22"/>
                <w:szCs w:val="20"/>
              </w:rPr>
              <w:t xml:space="preserve"> Since </w:t>
            </w:r>
            <w:r w:rsidRPr="002444A1">
              <w:rPr>
                <w:rFonts w:asciiTheme="minorHAnsi" w:hAnsiTheme="minorHAnsi" w:cstheme="minorHAnsi"/>
                <w:sz w:val="22"/>
                <w:szCs w:val="22"/>
              </w:rPr>
              <w:t xml:space="preserve">most LITs, REITs and IFs are already required to comply with the enhanced fees and costs disclosure requirements set out in </w:t>
            </w:r>
            <w:r w:rsidRPr="002444A1">
              <w:rPr>
                <w:rFonts w:asciiTheme="minorHAnsi" w:eastAsiaTheme="minorHAnsi" w:hAnsiTheme="minorHAnsi" w:cstheme="minorHAnsi"/>
                <w:spacing w:val="-1"/>
                <w:sz w:val="22"/>
                <w:szCs w:val="22"/>
              </w:rPr>
              <w:t>Part 7.9 Division 4C</w:t>
            </w:r>
            <w:r w:rsidRPr="002444A1">
              <w:rPr>
                <w:rFonts w:asciiTheme="minorHAnsi" w:hAnsiTheme="minorHAnsi" w:cstheme="minorHAnsi"/>
                <w:sz w:val="22"/>
                <w:szCs w:val="22"/>
              </w:rPr>
              <w:t xml:space="preserve"> and Schedule 10 of the Corporations Regulations, would there be benefits in requiring LICs to present the same information about management fees and costs (at a company level rather than an individual investor level) in their annual report? If not, why not?</w:t>
            </w:r>
          </w:p>
        </w:tc>
        <w:tc>
          <w:tcPr>
            <w:tcW w:w="7280" w:type="dxa"/>
          </w:tcPr>
          <w:p w14:paraId="2AAAA239"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51592FF" w14:textId="53FCF75E"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42639196" w14:textId="77B4F30F" w:rsidTr="00410D3C">
        <w:trPr>
          <w:cantSplit/>
        </w:trPr>
        <w:tc>
          <w:tcPr>
            <w:tcW w:w="7280" w:type="dxa"/>
          </w:tcPr>
          <w:p w14:paraId="26B68045" w14:textId="1E942599"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lastRenderedPageBreak/>
              <w:t>Question 10.2.2:</w:t>
            </w:r>
            <w:r w:rsidRPr="002444A1">
              <w:rPr>
                <w:rFonts w:asciiTheme="minorHAnsi" w:eastAsiaTheme="minorHAnsi" w:hAnsiTheme="minorHAnsi"/>
                <w:spacing w:val="-1"/>
                <w:sz w:val="22"/>
                <w:szCs w:val="20"/>
              </w:rPr>
              <w:t xml:space="preserve"> Are there any difficulties that you can foresee in applying the </w:t>
            </w:r>
            <w:r w:rsidRPr="002444A1">
              <w:rPr>
                <w:rFonts w:asciiTheme="minorHAnsi" w:hAnsiTheme="minorHAnsi" w:cstheme="minorHAnsi"/>
                <w:sz w:val="22"/>
                <w:szCs w:val="22"/>
              </w:rPr>
              <w:t xml:space="preserve">enhanced fees and costs disclosure requirements </w:t>
            </w:r>
            <w:r w:rsidRPr="002444A1">
              <w:rPr>
                <w:rFonts w:asciiTheme="minorHAnsi" w:eastAsiaTheme="minorHAnsi" w:hAnsiTheme="minorHAnsi"/>
                <w:spacing w:val="-1"/>
                <w:sz w:val="22"/>
                <w:szCs w:val="20"/>
              </w:rPr>
              <w:t>to LICs? If so, what are they and how could they be addressed?</w:t>
            </w:r>
          </w:p>
        </w:tc>
        <w:tc>
          <w:tcPr>
            <w:tcW w:w="7280" w:type="dxa"/>
          </w:tcPr>
          <w:p w14:paraId="7A281221"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3DD9004" w14:textId="3FECCAAC"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5D4D4BD" w14:textId="15EAD62D" w:rsidTr="00410D3C">
        <w:trPr>
          <w:cantSplit/>
        </w:trPr>
        <w:tc>
          <w:tcPr>
            <w:tcW w:w="7280" w:type="dxa"/>
          </w:tcPr>
          <w:p w14:paraId="00D4FC04" w14:textId="3432E0C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10.2.3:</w:t>
            </w:r>
            <w:r w:rsidRPr="002444A1">
              <w:rPr>
                <w:rFonts w:asciiTheme="minorHAnsi" w:eastAsiaTheme="minorHAnsi" w:hAnsiTheme="minorHAnsi"/>
                <w:spacing w:val="-1"/>
                <w:sz w:val="22"/>
                <w:szCs w:val="20"/>
              </w:rPr>
              <w:t xml:space="preserve"> If you do not support the application of the </w:t>
            </w:r>
            <w:r w:rsidRPr="002444A1">
              <w:rPr>
                <w:rFonts w:asciiTheme="minorHAnsi" w:hAnsiTheme="minorHAnsi" w:cstheme="minorHAnsi"/>
                <w:sz w:val="22"/>
                <w:szCs w:val="22"/>
              </w:rPr>
              <w:t>enhanced fees and costs disclosure requirements to LICs, what information would you have them report about management fees and costs in their annual report?</w:t>
            </w:r>
          </w:p>
        </w:tc>
        <w:tc>
          <w:tcPr>
            <w:tcW w:w="7280" w:type="dxa"/>
          </w:tcPr>
          <w:p w14:paraId="6D66CC00" w14:textId="77777777" w:rsidR="000E4D39" w:rsidRPr="00E35C89" w:rsidRDefault="003A1A52"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D274566" w14:textId="751623C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6E45775C" w14:textId="169E5E15" w:rsidTr="00C113C4">
        <w:trPr>
          <w:cantSplit/>
        </w:trPr>
        <w:tc>
          <w:tcPr>
            <w:tcW w:w="14560" w:type="dxa"/>
            <w:gridSpan w:val="2"/>
            <w:shd w:val="clear" w:color="auto" w:fill="F2F2F2" w:themeFill="background1" w:themeFillShade="F2"/>
          </w:tcPr>
          <w:p w14:paraId="548C0134" w14:textId="63265641" w:rsidR="003A1A52" w:rsidRPr="00C113C4" w:rsidRDefault="003A1A52" w:rsidP="00ED258B">
            <w:pPr>
              <w:pStyle w:val="ListBullet"/>
              <w:keepNext/>
              <w:spacing w:after="0"/>
              <w:ind w:left="0"/>
              <w:rPr>
                <w:rFonts w:asciiTheme="majorHAnsi" w:hAnsiTheme="majorHAnsi" w:cs="Arial"/>
                <w:b/>
                <w:bCs/>
                <w:color w:val="0070C0"/>
                <w:sz w:val="28"/>
                <w:szCs w:val="28"/>
              </w:rPr>
            </w:pPr>
            <w:r w:rsidRPr="00C113C4">
              <w:rPr>
                <w:rFonts w:asciiTheme="majorHAnsi" w:hAnsiTheme="majorHAnsi" w:cs="Arial"/>
                <w:b/>
                <w:bCs/>
                <w:color w:val="0070C0"/>
                <w:sz w:val="24"/>
                <w:szCs w:val="24"/>
              </w:rPr>
              <w:t>11.2</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Performance reporting</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Listed Investment Product performance reporting requirements</w:t>
            </w:r>
          </w:p>
        </w:tc>
      </w:tr>
      <w:tr w:rsidR="002D6EB9" w:rsidRPr="002444A1" w14:paraId="4B98313C" w14:textId="3FD014CE" w:rsidTr="00410D3C">
        <w:trPr>
          <w:cantSplit/>
        </w:trPr>
        <w:tc>
          <w:tcPr>
            <w:tcW w:w="7280" w:type="dxa"/>
          </w:tcPr>
          <w:p w14:paraId="0F3D4B9C" w14:textId="77777777" w:rsidR="002D6EB9" w:rsidRPr="002444A1" w:rsidRDefault="002D6EB9"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11.2.1:</w:t>
            </w:r>
            <w:r w:rsidRPr="002444A1">
              <w:rPr>
                <w:rFonts w:asciiTheme="minorHAnsi" w:eastAsiaTheme="minorHAnsi" w:hAnsiTheme="minorHAnsi"/>
                <w:spacing w:val="-1"/>
                <w:sz w:val="22"/>
                <w:szCs w:val="20"/>
              </w:rPr>
              <w:t xml:space="preserve"> Do you support changing the requirement that LICs and LITs presently have under the Listing Rules to report their NTA backing on a monthly basis with requirements that:</w:t>
            </w:r>
          </w:p>
          <w:p w14:paraId="3D8A625C" w14:textId="77777777" w:rsidR="002D6EB9" w:rsidRPr="002444A1" w:rsidRDefault="002D6EB9" w:rsidP="00ED258B">
            <w:pPr>
              <w:pStyle w:val="Definitionlist"/>
              <w:spacing w:before="0" w:after="0"/>
              <w:ind w:left="284" w:hanging="284"/>
              <w:rPr>
                <w:rFonts w:asciiTheme="minorHAnsi" w:eastAsiaTheme="minorHAnsi" w:hAnsiTheme="minorHAnsi"/>
                <w:spacing w:val="-1"/>
                <w:sz w:val="22"/>
                <w:szCs w:val="20"/>
              </w:rPr>
            </w:pPr>
            <w:r w:rsidRPr="002444A1">
              <w:rPr>
                <w:rFonts w:asciiTheme="minorHAnsi" w:eastAsiaTheme="minorHAnsi" w:hAnsiTheme="minorHAnsi"/>
                <w:spacing w:val="-1"/>
                <w:sz w:val="22"/>
                <w:szCs w:val="20"/>
              </w:rPr>
              <w:t>(a)</w:t>
            </w:r>
            <w:r w:rsidRPr="002444A1">
              <w:rPr>
                <w:rFonts w:asciiTheme="minorHAnsi" w:eastAsiaTheme="minorHAnsi" w:hAnsiTheme="minorHAnsi"/>
                <w:spacing w:val="-1"/>
                <w:sz w:val="22"/>
                <w:szCs w:val="20"/>
              </w:rPr>
              <w:tab/>
              <w:t>regardless of when they do it, whenever they formally calculate an NTA backing, they must give the NTA backing and the “as at” date it was calculated to ASX for publication on the Listed Investment Products and AQUA Products information page on the ASX website and also publish it on the issuer’s own website, and</w:t>
            </w:r>
          </w:p>
          <w:p w14:paraId="00EC303A" w14:textId="77777777" w:rsidR="002D6EB9" w:rsidRPr="002444A1" w:rsidRDefault="002D6EB9" w:rsidP="00ED258B">
            <w:pPr>
              <w:pStyle w:val="Definitionlist"/>
              <w:spacing w:before="0" w:after="0"/>
              <w:ind w:left="284" w:hanging="284"/>
              <w:rPr>
                <w:rFonts w:asciiTheme="minorHAnsi" w:eastAsiaTheme="minorHAnsi" w:hAnsiTheme="minorHAnsi"/>
                <w:spacing w:val="-1"/>
                <w:sz w:val="22"/>
                <w:szCs w:val="20"/>
              </w:rPr>
            </w:pPr>
            <w:r w:rsidRPr="002444A1">
              <w:rPr>
                <w:rFonts w:asciiTheme="minorHAnsi" w:eastAsiaTheme="minorHAnsi" w:hAnsiTheme="minorHAnsi"/>
                <w:spacing w:val="-1"/>
                <w:sz w:val="22"/>
                <w:szCs w:val="20"/>
              </w:rPr>
              <w:t>(b)</w:t>
            </w:r>
            <w:r w:rsidRPr="002444A1">
              <w:rPr>
                <w:rFonts w:asciiTheme="minorHAnsi" w:eastAsiaTheme="minorHAnsi" w:hAnsiTheme="minorHAnsi"/>
                <w:spacing w:val="-1"/>
                <w:sz w:val="22"/>
                <w:szCs w:val="20"/>
              </w:rPr>
              <w:tab/>
              <w:t>they publish on MAP their NTA backing on a quarterly basis, by no later than one month after quarter end?</w:t>
            </w:r>
          </w:p>
          <w:p w14:paraId="10A6019A" w14:textId="0002DB85" w:rsidR="002D6EB9" w:rsidRPr="002444A1" w:rsidRDefault="002D6EB9"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spacing w:val="-1"/>
                <w:sz w:val="22"/>
                <w:szCs w:val="20"/>
              </w:rPr>
              <w:t>If not, why not?</w:t>
            </w:r>
          </w:p>
        </w:tc>
        <w:tc>
          <w:tcPr>
            <w:tcW w:w="7280" w:type="dxa"/>
          </w:tcPr>
          <w:p w14:paraId="25D8BEE6" w14:textId="77777777" w:rsidR="000E4D39" w:rsidRPr="00E35C89" w:rsidRDefault="002D6EB9"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CBAFF13" w14:textId="2149C35E" w:rsidR="002D6EB9" w:rsidRPr="002444A1" w:rsidRDefault="002D6EB9"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2D6EB9" w:rsidRPr="002444A1" w14:paraId="64FB7358" w14:textId="26B5E823" w:rsidTr="00410D3C">
        <w:tc>
          <w:tcPr>
            <w:tcW w:w="7280" w:type="dxa"/>
          </w:tcPr>
          <w:p w14:paraId="4A3A4FDD" w14:textId="77777777" w:rsidR="002D6EB9" w:rsidRPr="002444A1" w:rsidRDefault="002D6EB9"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11.2.2:</w:t>
            </w:r>
            <w:r w:rsidRPr="002444A1">
              <w:rPr>
                <w:rFonts w:asciiTheme="minorHAnsi" w:eastAsiaTheme="minorHAnsi" w:hAnsiTheme="minorHAnsi"/>
                <w:spacing w:val="-1"/>
                <w:sz w:val="22"/>
                <w:szCs w:val="20"/>
              </w:rPr>
              <w:t xml:space="preserve"> Do you agree with the definition of “NTA backing” in the Listing Rules? If not, how would you amend it? In particular:</w:t>
            </w:r>
          </w:p>
          <w:p w14:paraId="3A16A98D" w14:textId="77777777" w:rsidR="002D6EB9" w:rsidRPr="002444A1" w:rsidRDefault="002D6EB9" w:rsidP="00ED258B">
            <w:pPr>
              <w:pStyle w:val="Definitionlist"/>
              <w:spacing w:before="0" w:after="0"/>
              <w:ind w:left="284" w:hanging="284"/>
              <w:rPr>
                <w:rFonts w:asciiTheme="minorHAnsi" w:eastAsiaTheme="minorHAnsi" w:hAnsiTheme="minorHAnsi"/>
                <w:spacing w:val="-1"/>
                <w:sz w:val="22"/>
                <w:szCs w:val="20"/>
              </w:rPr>
            </w:pPr>
            <w:r w:rsidRPr="002444A1">
              <w:rPr>
                <w:rFonts w:asciiTheme="minorHAnsi" w:eastAsiaTheme="minorHAnsi" w:hAnsiTheme="minorHAnsi"/>
                <w:spacing w:val="-1"/>
                <w:sz w:val="22"/>
                <w:szCs w:val="20"/>
              </w:rPr>
              <w:t>(a)</w:t>
            </w:r>
            <w:r w:rsidRPr="002444A1">
              <w:rPr>
                <w:rFonts w:asciiTheme="minorHAnsi" w:eastAsiaTheme="minorHAnsi" w:hAnsiTheme="minorHAnsi"/>
                <w:spacing w:val="-1"/>
                <w:sz w:val="22"/>
                <w:szCs w:val="20"/>
              </w:rPr>
              <w:tab/>
              <w:t>Do you see merit in including examples of the intangible assets captured by the variable “I” in the definition and, if so, what would you include in those examples (commenting specifically on whether you would, or would not, include deferred tax assets and prepayments as “intangible assets” for these purposes)?</w:t>
            </w:r>
          </w:p>
          <w:p w14:paraId="12735F04" w14:textId="77777777" w:rsidR="002D6EB9" w:rsidRPr="002444A1" w:rsidRDefault="002D6EB9" w:rsidP="00ED258B">
            <w:pPr>
              <w:pStyle w:val="Definitionlist"/>
              <w:spacing w:before="0" w:after="0"/>
              <w:ind w:left="284" w:hanging="284"/>
              <w:rPr>
                <w:rFonts w:asciiTheme="minorHAnsi" w:eastAsiaTheme="minorHAnsi" w:hAnsiTheme="minorHAnsi"/>
                <w:spacing w:val="-1"/>
                <w:sz w:val="22"/>
                <w:szCs w:val="20"/>
              </w:rPr>
            </w:pPr>
            <w:r w:rsidRPr="002444A1">
              <w:rPr>
                <w:rFonts w:asciiTheme="minorHAnsi" w:eastAsiaTheme="minorHAnsi" w:hAnsiTheme="minorHAnsi"/>
                <w:spacing w:val="-1"/>
                <w:sz w:val="22"/>
                <w:szCs w:val="20"/>
              </w:rPr>
              <w:t>(b)</w:t>
            </w:r>
            <w:r w:rsidRPr="002444A1">
              <w:rPr>
                <w:rFonts w:asciiTheme="minorHAnsi" w:eastAsiaTheme="minorHAnsi" w:hAnsiTheme="minorHAnsi"/>
                <w:spacing w:val="-1"/>
                <w:sz w:val="22"/>
                <w:szCs w:val="20"/>
              </w:rPr>
              <w:tab/>
              <w:t xml:space="preserve">In the case of lease right of use assets, do you agree with the policy position taken by ASX in other contexts that for the purposes of determining a Listed Investment Product’s NTA backing under the Listing Rules, the lease right of </w:t>
            </w:r>
            <w:r w:rsidRPr="002444A1">
              <w:rPr>
                <w:rFonts w:asciiTheme="minorHAnsi" w:eastAsiaTheme="minorHAnsi" w:hAnsiTheme="minorHAnsi"/>
                <w:spacing w:val="-1"/>
                <w:sz w:val="22"/>
                <w:szCs w:val="20"/>
              </w:rPr>
              <w:lastRenderedPageBreak/>
              <w:t>use asset should be treated as tangible if the underlying asset being leased is tangible and intangible if the underlying asset being leased is intangible?</w:t>
            </w:r>
          </w:p>
          <w:p w14:paraId="6F10D94B" w14:textId="77777777" w:rsidR="002D6EB9" w:rsidRPr="002444A1" w:rsidRDefault="002D6EB9" w:rsidP="00ED258B">
            <w:pPr>
              <w:pStyle w:val="Definitionlist"/>
              <w:spacing w:before="0" w:after="0"/>
              <w:ind w:left="284" w:hanging="284"/>
              <w:rPr>
                <w:rFonts w:asciiTheme="minorHAnsi" w:eastAsiaTheme="minorHAnsi" w:hAnsiTheme="minorHAnsi"/>
                <w:spacing w:val="-1"/>
                <w:sz w:val="22"/>
                <w:szCs w:val="20"/>
              </w:rPr>
            </w:pPr>
            <w:r w:rsidRPr="002444A1">
              <w:rPr>
                <w:rFonts w:asciiTheme="minorHAnsi" w:eastAsiaTheme="minorHAnsi" w:hAnsiTheme="minorHAnsi"/>
                <w:spacing w:val="-1"/>
                <w:sz w:val="22"/>
                <w:szCs w:val="20"/>
              </w:rPr>
              <w:t>(c)</w:t>
            </w:r>
            <w:r w:rsidRPr="002444A1">
              <w:rPr>
                <w:rFonts w:asciiTheme="minorHAnsi" w:eastAsiaTheme="minorHAnsi" w:hAnsiTheme="minorHAnsi"/>
                <w:spacing w:val="-1"/>
                <w:sz w:val="22"/>
                <w:szCs w:val="20"/>
              </w:rPr>
              <w:tab/>
              <w:t>Do you think the variable “L” in the definition adequately addresses taxation issues (including the different tax treatment of companies and trusts and how deferred tax liabilities should be accounted for)?</w:t>
            </w:r>
          </w:p>
          <w:p w14:paraId="746CFEF7" w14:textId="77777777" w:rsidR="002D6EB9" w:rsidRPr="002444A1" w:rsidRDefault="002D6EB9" w:rsidP="00ED258B">
            <w:pPr>
              <w:pStyle w:val="Definitionlist"/>
              <w:spacing w:before="0" w:after="0"/>
              <w:ind w:left="284" w:hanging="284"/>
              <w:rPr>
                <w:rFonts w:asciiTheme="minorHAnsi" w:eastAsiaTheme="minorHAnsi" w:hAnsiTheme="minorHAnsi"/>
                <w:spacing w:val="-1"/>
                <w:sz w:val="22"/>
                <w:szCs w:val="20"/>
              </w:rPr>
            </w:pPr>
            <w:r w:rsidRPr="002444A1">
              <w:rPr>
                <w:rFonts w:asciiTheme="minorHAnsi" w:eastAsiaTheme="minorHAnsi" w:hAnsiTheme="minorHAnsi"/>
                <w:spacing w:val="-1"/>
                <w:sz w:val="22"/>
                <w:szCs w:val="20"/>
              </w:rPr>
              <w:t>(d)</w:t>
            </w:r>
            <w:r w:rsidRPr="002444A1">
              <w:rPr>
                <w:rFonts w:asciiTheme="minorHAnsi" w:eastAsiaTheme="minorHAnsi" w:hAnsiTheme="minorHAnsi"/>
                <w:spacing w:val="-1"/>
                <w:sz w:val="22"/>
                <w:szCs w:val="20"/>
              </w:rPr>
              <w:tab/>
              <w:t>Do you think the variable “N” in the definition adequately deals with partly paid securities?</w:t>
            </w:r>
          </w:p>
          <w:p w14:paraId="17B3BA36" w14:textId="147E3927" w:rsidR="002D6EB9" w:rsidRPr="002444A1" w:rsidRDefault="002D6EB9" w:rsidP="00ED258B">
            <w:pPr>
              <w:pStyle w:val="Definitionlist"/>
              <w:spacing w:before="0" w:after="0"/>
              <w:ind w:left="0"/>
              <w:rPr>
                <w:rFonts w:asciiTheme="minorHAnsi" w:eastAsiaTheme="minorHAnsi" w:hAnsiTheme="minorHAnsi"/>
                <w:spacing w:val="-1"/>
                <w:sz w:val="22"/>
                <w:szCs w:val="20"/>
              </w:rPr>
            </w:pPr>
            <w:r w:rsidRPr="002444A1">
              <w:rPr>
                <w:rFonts w:asciiTheme="minorHAnsi" w:eastAsiaTheme="minorHAnsi" w:hAnsiTheme="minorHAnsi"/>
                <w:spacing w:val="-1"/>
                <w:sz w:val="22"/>
                <w:szCs w:val="20"/>
              </w:rPr>
              <w:t>(e)</w:t>
            </w:r>
            <w:r w:rsidRPr="002444A1">
              <w:rPr>
                <w:rFonts w:asciiTheme="minorHAnsi" w:eastAsiaTheme="minorHAnsi" w:hAnsiTheme="minorHAnsi"/>
                <w:spacing w:val="-1"/>
                <w:sz w:val="22"/>
                <w:szCs w:val="20"/>
              </w:rPr>
              <w:tab/>
              <w:t>Do you also have a view on whether options should be counted in “N” if they are in the money at the relevant calculation date?</w:t>
            </w:r>
          </w:p>
        </w:tc>
        <w:tc>
          <w:tcPr>
            <w:tcW w:w="7280" w:type="dxa"/>
          </w:tcPr>
          <w:p w14:paraId="06628B47" w14:textId="77777777" w:rsidR="000E4D39" w:rsidRPr="00E35C89" w:rsidRDefault="002D6EB9"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lastRenderedPageBreak/>
              <w:t>Answer:</w:t>
            </w:r>
            <w:r w:rsidRPr="00FF1055">
              <w:rPr>
                <w:rFonts w:asciiTheme="minorHAnsi" w:eastAsiaTheme="minorHAnsi" w:hAnsiTheme="minorHAnsi"/>
                <w:spacing w:val="-1"/>
                <w:sz w:val="22"/>
                <w:szCs w:val="20"/>
              </w:rPr>
              <w:t xml:space="preserve"> </w:t>
            </w:r>
          </w:p>
          <w:p w14:paraId="2B975EC2" w14:textId="7E0AFB95" w:rsidR="002D6EB9" w:rsidRPr="002444A1" w:rsidRDefault="002D6EB9"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617AEBF2" w14:textId="1473D243" w:rsidTr="00410D3C">
        <w:trPr>
          <w:cantSplit/>
        </w:trPr>
        <w:tc>
          <w:tcPr>
            <w:tcW w:w="7280" w:type="dxa"/>
          </w:tcPr>
          <w:p w14:paraId="11A4270E" w14:textId="00402123"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11.2.3:</w:t>
            </w:r>
            <w:r w:rsidRPr="002444A1">
              <w:rPr>
                <w:rFonts w:asciiTheme="minorHAnsi" w:eastAsiaTheme="minorHAnsi" w:hAnsiTheme="minorHAnsi"/>
                <w:spacing w:val="-1"/>
                <w:sz w:val="22"/>
                <w:szCs w:val="20"/>
              </w:rPr>
              <w:t xml:space="preserve"> Do you support REITs and IFs</w:t>
            </w:r>
            <w:r w:rsidRPr="002444A1" w:rsidDel="007D55C3">
              <w:rPr>
                <w:rFonts w:asciiTheme="minorHAnsi" w:eastAsiaTheme="minorHAnsi" w:hAnsiTheme="minorHAnsi"/>
                <w:spacing w:val="-1"/>
                <w:sz w:val="22"/>
                <w:szCs w:val="20"/>
              </w:rPr>
              <w:t xml:space="preserve"> </w:t>
            </w:r>
            <w:r w:rsidRPr="002444A1">
              <w:rPr>
                <w:rFonts w:asciiTheme="minorHAnsi" w:eastAsiaTheme="minorHAnsi" w:hAnsiTheme="minorHAnsi"/>
                <w:spacing w:val="-1"/>
                <w:sz w:val="22"/>
                <w:szCs w:val="20"/>
              </w:rPr>
              <w:t xml:space="preserve">being required to include in their annual report </w:t>
            </w:r>
            <w:r w:rsidRPr="002444A1">
              <w:rPr>
                <w:rFonts w:asciiTheme="minorHAnsi" w:eastAsiaTheme="minorHAnsi" w:hAnsiTheme="minorHAnsi" w:cstheme="minorHAnsi"/>
                <w:spacing w:val="-1"/>
                <w:sz w:val="22"/>
                <w:szCs w:val="22"/>
              </w:rPr>
              <w:t>the NTA backing of their quoted securities at the beginning and end of the reporting period and an explanation of any change therein over that period, similar to what is currently required of LICs and LITs</w:t>
            </w:r>
            <w:r w:rsidRPr="002444A1">
              <w:rPr>
                <w:rFonts w:asciiTheme="minorHAnsi" w:eastAsiaTheme="minorHAnsi" w:hAnsiTheme="minorHAnsi"/>
                <w:spacing w:val="-1"/>
                <w:sz w:val="22"/>
                <w:szCs w:val="20"/>
              </w:rPr>
              <w:t>? If not, why not?</w:t>
            </w:r>
          </w:p>
        </w:tc>
        <w:tc>
          <w:tcPr>
            <w:tcW w:w="7280" w:type="dxa"/>
          </w:tcPr>
          <w:p w14:paraId="499C1D45" w14:textId="77777777" w:rsidR="000E4D39" w:rsidRPr="00E35C89" w:rsidRDefault="00824728"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A561A19" w14:textId="3393D69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67F41FE2" w14:textId="14340F0C" w:rsidTr="00410D3C">
        <w:trPr>
          <w:cantSplit/>
        </w:trPr>
        <w:tc>
          <w:tcPr>
            <w:tcW w:w="7280" w:type="dxa"/>
          </w:tcPr>
          <w:p w14:paraId="43BA9508" w14:textId="64C86579"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11.2.4:</w:t>
            </w:r>
            <w:r w:rsidRPr="002444A1">
              <w:rPr>
                <w:rFonts w:asciiTheme="minorHAnsi" w:eastAsiaTheme="minorHAnsi" w:hAnsiTheme="minorHAnsi"/>
                <w:spacing w:val="-1"/>
                <w:sz w:val="22"/>
                <w:szCs w:val="20"/>
              </w:rPr>
              <w:t xml:space="preserve"> Do you support LICs, LITs, REITs and IFs</w:t>
            </w:r>
            <w:r w:rsidRPr="002444A1" w:rsidDel="007D55C3">
              <w:rPr>
                <w:rFonts w:asciiTheme="minorHAnsi" w:eastAsiaTheme="minorHAnsi" w:hAnsiTheme="minorHAnsi"/>
                <w:spacing w:val="-1"/>
                <w:sz w:val="22"/>
                <w:szCs w:val="20"/>
              </w:rPr>
              <w:t xml:space="preserve"> </w:t>
            </w:r>
            <w:r w:rsidRPr="002444A1">
              <w:rPr>
                <w:rFonts w:asciiTheme="minorHAnsi" w:eastAsiaTheme="minorHAnsi" w:hAnsiTheme="minorHAnsi"/>
                <w:spacing w:val="-1"/>
                <w:sz w:val="22"/>
                <w:szCs w:val="20"/>
              </w:rPr>
              <w:t>being required to include in their annual report their TSR for different nominated periods? If so, how would you define “TSR” and for what periods do you think they should report their TSR? If not, why not?</w:t>
            </w:r>
          </w:p>
        </w:tc>
        <w:tc>
          <w:tcPr>
            <w:tcW w:w="7280" w:type="dxa"/>
          </w:tcPr>
          <w:p w14:paraId="2BA42BF8" w14:textId="77777777" w:rsidR="000E4D39" w:rsidRPr="00E35C89" w:rsidRDefault="00824728"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C31EA4B" w14:textId="3202AC99"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65F0F510" w14:textId="11F61C29" w:rsidTr="00410D3C">
        <w:trPr>
          <w:cantSplit/>
        </w:trPr>
        <w:tc>
          <w:tcPr>
            <w:tcW w:w="7280" w:type="dxa"/>
          </w:tcPr>
          <w:p w14:paraId="1B7801FD" w14:textId="23E9095E"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11.2.5:</w:t>
            </w:r>
            <w:r w:rsidRPr="002444A1">
              <w:rPr>
                <w:rFonts w:asciiTheme="minorHAnsi" w:eastAsiaTheme="minorHAnsi" w:hAnsiTheme="minorHAnsi"/>
                <w:spacing w:val="-1"/>
                <w:sz w:val="22"/>
                <w:szCs w:val="20"/>
              </w:rPr>
              <w:t xml:space="preserve"> Should a </w:t>
            </w:r>
            <w:r w:rsidRPr="002444A1">
              <w:rPr>
                <w:rFonts w:asciiTheme="minorHAnsi" w:eastAsiaTheme="minorHAnsi" w:hAnsiTheme="minorHAnsi" w:cstheme="minorHAnsi"/>
                <w:spacing w:val="-1"/>
                <w:sz w:val="22"/>
                <w:szCs w:val="22"/>
              </w:rPr>
              <w:t>LIC, LIT, REIT or IF</w:t>
            </w:r>
            <w:r w:rsidRPr="002444A1" w:rsidDel="007D55C3">
              <w:rPr>
                <w:rFonts w:asciiTheme="minorHAnsi" w:eastAsiaTheme="minorHAnsi" w:hAnsiTheme="minorHAnsi"/>
                <w:spacing w:val="-1"/>
                <w:sz w:val="22"/>
                <w:szCs w:val="20"/>
              </w:rPr>
              <w:t xml:space="preserve"> </w:t>
            </w:r>
            <w:r w:rsidRPr="002444A1">
              <w:rPr>
                <w:rFonts w:asciiTheme="minorHAnsi" w:eastAsiaTheme="minorHAnsi" w:hAnsiTheme="minorHAnsi" w:cstheme="minorHAnsi"/>
                <w:spacing w:val="-1"/>
                <w:sz w:val="22"/>
                <w:szCs w:val="22"/>
              </w:rPr>
              <w:t>that has as its investment objective replicating or exceeding the return on a particular index or benchmark be required to include in its annual report a comparison of its performance against that index or benchmark over the reporting period? If so, how should it go about making that comparison? If not, why not?</w:t>
            </w:r>
          </w:p>
        </w:tc>
        <w:tc>
          <w:tcPr>
            <w:tcW w:w="7280" w:type="dxa"/>
          </w:tcPr>
          <w:p w14:paraId="69AE768D" w14:textId="77777777" w:rsidR="000E4D39" w:rsidRPr="00E35C89" w:rsidRDefault="00824728"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9A30D5D" w14:textId="2CAC510F"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239DD5D" w14:textId="6F4472A9" w:rsidTr="00410D3C">
        <w:trPr>
          <w:cantSplit/>
        </w:trPr>
        <w:tc>
          <w:tcPr>
            <w:tcW w:w="7280" w:type="dxa"/>
          </w:tcPr>
          <w:p w14:paraId="67F662D1" w14:textId="3B94BDD1"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11.2.6:</w:t>
            </w:r>
            <w:r w:rsidRPr="002444A1">
              <w:rPr>
                <w:rFonts w:asciiTheme="minorHAnsi" w:eastAsiaTheme="minorHAnsi" w:hAnsiTheme="minorHAnsi"/>
                <w:spacing w:val="-1"/>
                <w:sz w:val="22"/>
                <w:szCs w:val="20"/>
              </w:rPr>
              <w:t xml:space="preserve"> </w:t>
            </w:r>
            <w:r w:rsidRPr="002444A1">
              <w:rPr>
                <w:rFonts w:asciiTheme="minorHAnsi" w:eastAsiaTheme="minorHAnsi" w:hAnsiTheme="minorHAnsi" w:cstheme="minorHAnsi"/>
                <w:spacing w:val="-1"/>
                <w:sz w:val="22"/>
                <w:szCs w:val="22"/>
              </w:rPr>
              <w:t xml:space="preserve">Are there any other performance metrics that you think </w:t>
            </w:r>
            <w:r w:rsidRPr="002444A1">
              <w:rPr>
                <w:rFonts w:asciiTheme="minorHAnsi" w:eastAsiaTheme="minorHAnsi" w:hAnsiTheme="minorHAnsi"/>
                <w:spacing w:val="-1"/>
                <w:sz w:val="22"/>
                <w:szCs w:val="20"/>
              </w:rPr>
              <w:t>LICs, LITs, REITs and IFs should be required to report to their investors? If yes, what are those metrics and where and with what frequency should those metrics be published?</w:t>
            </w:r>
          </w:p>
        </w:tc>
        <w:tc>
          <w:tcPr>
            <w:tcW w:w="7280" w:type="dxa"/>
          </w:tcPr>
          <w:p w14:paraId="65AFFA17" w14:textId="77777777" w:rsidR="000E4D39" w:rsidRPr="00E35C89" w:rsidRDefault="00824728"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FEFC158" w14:textId="5CD154D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3E12D366" w14:textId="1BD921DD" w:rsidTr="00C113C4">
        <w:trPr>
          <w:cantSplit/>
        </w:trPr>
        <w:tc>
          <w:tcPr>
            <w:tcW w:w="14560" w:type="dxa"/>
            <w:gridSpan w:val="2"/>
            <w:shd w:val="clear" w:color="auto" w:fill="F2F2F2" w:themeFill="background1" w:themeFillShade="F2"/>
          </w:tcPr>
          <w:p w14:paraId="73F4ED67" w14:textId="0D1C0198" w:rsidR="00824728" w:rsidRPr="00C113C4" w:rsidRDefault="00824728" w:rsidP="00ED258B">
            <w:pPr>
              <w:pStyle w:val="Definitionlist"/>
              <w:keepNext/>
              <w:spacing w:before="0" w:after="0"/>
              <w:ind w:left="0" w:firstLine="0"/>
              <w:rPr>
                <w:rFonts w:asciiTheme="majorHAnsi" w:hAnsiTheme="majorHAnsi" w:cs="Arial"/>
                <w:b/>
                <w:bCs/>
                <w:color w:val="0070C0"/>
                <w:sz w:val="24"/>
              </w:rPr>
            </w:pPr>
            <w:r w:rsidRPr="00C113C4">
              <w:rPr>
                <w:rFonts w:asciiTheme="majorHAnsi" w:hAnsiTheme="majorHAnsi" w:cs="Arial"/>
                <w:b/>
                <w:bCs/>
                <w:color w:val="0070C0"/>
                <w:sz w:val="24"/>
              </w:rPr>
              <w:lastRenderedPageBreak/>
              <w:t>11.3</w:t>
            </w:r>
            <w:r w:rsidRPr="00C113C4">
              <w:rPr>
                <w:rFonts w:asciiTheme="majorHAnsi" w:hAnsiTheme="majorHAnsi" w:cs="Arial"/>
                <w:b/>
                <w:bCs/>
                <w:color w:val="0070C0"/>
                <w:sz w:val="24"/>
              </w:rPr>
              <w:tab/>
            </w:r>
            <w:r w:rsidR="00042554" w:rsidRPr="00042554">
              <w:rPr>
                <w:rFonts w:asciiTheme="majorHAnsi" w:hAnsiTheme="majorHAnsi" w:cs="Arial"/>
                <w:b/>
                <w:bCs/>
                <w:color w:val="0070C0"/>
                <w:sz w:val="24"/>
              </w:rPr>
              <w:t>Performance reporting</w:t>
            </w:r>
            <w:r w:rsidR="00042554" w:rsidRPr="00C113C4">
              <w:rPr>
                <w:rFonts w:asciiTheme="majorHAnsi" w:hAnsiTheme="majorHAnsi" w:cs="Arial"/>
                <w:b/>
                <w:bCs/>
                <w:color w:val="0070C0"/>
                <w:sz w:val="24"/>
              </w:rPr>
              <w:t xml:space="preserve"> </w:t>
            </w:r>
            <w:r w:rsidR="00042554">
              <w:rPr>
                <w:rFonts w:asciiTheme="majorHAnsi" w:hAnsiTheme="majorHAnsi" w:cs="Arial"/>
                <w:b/>
                <w:bCs/>
                <w:color w:val="0070C0"/>
                <w:sz w:val="24"/>
              </w:rPr>
              <w:t xml:space="preserve">- </w:t>
            </w:r>
            <w:r w:rsidRPr="00C113C4">
              <w:rPr>
                <w:rFonts w:asciiTheme="majorHAnsi" w:hAnsiTheme="majorHAnsi" w:cs="Arial"/>
                <w:b/>
                <w:bCs/>
                <w:color w:val="0070C0"/>
                <w:sz w:val="24"/>
              </w:rPr>
              <w:t>AQUA Product performance reporting requirements</w:t>
            </w:r>
          </w:p>
        </w:tc>
      </w:tr>
      <w:tr w:rsidR="00FF1055" w:rsidRPr="002444A1" w14:paraId="30C00AD7" w14:textId="16448B9F" w:rsidTr="00410D3C">
        <w:trPr>
          <w:cantSplit/>
        </w:trPr>
        <w:tc>
          <w:tcPr>
            <w:tcW w:w="7280" w:type="dxa"/>
          </w:tcPr>
          <w:p w14:paraId="7344C82B" w14:textId="4629582F"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11.3.1:</w:t>
            </w:r>
            <w:r w:rsidRPr="002444A1">
              <w:rPr>
                <w:rFonts w:asciiTheme="minorHAnsi" w:eastAsiaTheme="minorHAnsi" w:hAnsiTheme="minorHAnsi"/>
                <w:spacing w:val="-1"/>
                <w:sz w:val="22"/>
                <w:szCs w:val="20"/>
              </w:rPr>
              <w:t xml:space="preserve"> Do you agree that ETSPs that take the form of a Collective Investment Product should be required to disclose their NAV on a daily basis? If not, why not?</w:t>
            </w:r>
          </w:p>
        </w:tc>
        <w:tc>
          <w:tcPr>
            <w:tcW w:w="7280" w:type="dxa"/>
          </w:tcPr>
          <w:p w14:paraId="50A85FE6" w14:textId="77777777" w:rsidR="000E4D39" w:rsidRPr="00E35C89" w:rsidRDefault="00824728" w:rsidP="000E4D39">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EAD0855" w14:textId="58585B0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2C26C048" w14:textId="2F25A036" w:rsidTr="00410D3C">
        <w:trPr>
          <w:cantSplit/>
        </w:trPr>
        <w:tc>
          <w:tcPr>
            <w:tcW w:w="7280" w:type="dxa"/>
          </w:tcPr>
          <w:p w14:paraId="526C9F43" w14:textId="6BEB5A4F"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11.3.2:</w:t>
            </w:r>
            <w:r w:rsidRPr="002444A1">
              <w:rPr>
                <w:rFonts w:asciiTheme="minorHAnsi" w:eastAsiaTheme="minorHAnsi" w:hAnsiTheme="minorHAnsi"/>
                <w:spacing w:val="-1"/>
                <w:sz w:val="22"/>
                <w:szCs w:val="20"/>
              </w:rPr>
              <w:t xml:space="preserve"> Do you support the proposed amendment to the AQUA Rules requiring ETFs and ETMFs (and, if you have answered Question 11.3.1 in the affirmative, those ETSPs that take the form of Collective Investment Products) to give their NAV and the “as at” date it was calculated to ASX for publication on the Listed Investment Products and AQUA Products information page on the ASX website, as well as publish it on the issuer’s own website? If not, why not?</w:t>
            </w:r>
          </w:p>
        </w:tc>
        <w:tc>
          <w:tcPr>
            <w:tcW w:w="7280" w:type="dxa"/>
          </w:tcPr>
          <w:p w14:paraId="665E4D51"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18010B5" w14:textId="5F554C5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911575C" w14:textId="390DC878" w:rsidTr="00410D3C">
        <w:trPr>
          <w:cantSplit/>
        </w:trPr>
        <w:tc>
          <w:tcPr>
            <w:tcW w:w="7280" w:type="dxa"/>
          </w:tcPr>
          <w:p w14:paraId="65AB560E" w14:textId="39489241"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11.3.3:</w:t>
            </w:r>
            <w:r w:rsidRPr="002444A1">
              <w:rPr>
                <w:rFonts w:asciiTheme="minorHAnsi" w:eastAsiaTheme="minorHAnsi" w:hAnsiTheme="minorHAnsi"/>
                <w:spacing w:val="-1"/>
                <w:sz w:val="22"/>
                <w:szCs w:val="20"/>
              </w:rPr>
              <w:t xml:space="preserve"> Do you think the term “NAV” should be defined in the AQUA Rules? If so, how would you define it? Are there any elements of the definition of “NTA backing” in the Listing Rules that you think ought to be incorporated in the definition of “NAV” in the AQUA Rules? If so, please explain.</w:t>
            </w:r>
          </w:p>
        </w:tc>
        <w:tc>
          <w:tcPr>
            <w:tcW w:w="7280" w:type="dxa"/>
          </w:tcPr>
          <w:p w14:paraId="15050569"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0D07FD4" w14:textId="01D9A11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26021F1" w14:textId="39C4D8DC" w:rsidTr="00410D3C">
        <w:trPr>
          <w:cantSplit/>
        </w:trPr>
        <w:tc>
          <w:tcPr>
            <w:tcW w:w="7280" w:type="dxa"/>
          </w:tcPr>
          <w:p w14:paraId="2951636D" w14:textId="20261911"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11.3.4:</w:t>
            </w:r>
            <w:r w:rsidRPr="002444A1">
              <w:rPr>
                <w:rFonts w:asciiTheme="minorHAnsi" w:eastAsiaTheme="minorHAnsi" w:hAnsiTheme="minorHAnsi"/>
                <w:spacing w:val="-1"/>
                <w:sz w:val="22"/>
                <w:szCs w:val="20"/>
              </w:rPr>
              <w:t xml:space="preserve"> Do you support ETFs, ETMFs, and ETSPs that take the form of Collective Investment Products being required to include in their annual report </w:t>
            </w:r>
            <w:r w:rsidRPr="002444A1">
              <w:rPr>
                <w:rFonts w:asciiTheme="minorHAnsi" w:eastAsiaTheme="minorHAnsi" w:hAnsiTheme="minorHAnsi" w:cstheme="minorHAnsi"/>
                <w:spacing w:val="-1"/>
                <w:sz w:val="22"/>
                <w:szCs w:val="22"/>
              </w:rPr>
              <w:t>the NAV per share/unit of their quoted securities at the beginning and end of the reporting period and an explanation of any change therein over that period</w:t>
            </w:r>
            <w:r w:rsidRPr="002444A1">
              <w:rPr>
                <w:rFonts w:asciiTheme="minorHAnsi" w:eastAsiaTheme="minorHAnsi" w:hAnsiTheme="minorHAnsi"/>
                <w:spacing w:val="-1"/>
                <w:sz w:val="22"/>
                <w:szCs w:val="20"/>
              </w:rPr>
              <w:t>? If not, why not?</w:t>
            </w:r>
          </w:p>
        </w:tc>
        <w:tc>
          <w:tcPr>
            <w:tcW w:w="7280" w:type="dxa"/>
          </w:tcPr>
          <w:p w14:paraId="47A2504C"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FC03887" w14:textId="06E62EE9"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64C2995F" w14:textId="1C456D42" w:rsidTr="00410D3C">
        <w:trPr>
          <w:cantSplit/>
        </w:trPr>
        <w:tc>
          <w:tcPr>
            <w:tcW w:w="7280" w:type="dxa"/>
          </w:tcPr>
          <w:p w14:paraId="2D02F01F" w14:textId="61F754B6"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11.3.5:</w:t>
            </w:r>
            <w:r w:rsidRPr="002444A1">
              <w:rPr>
                <w:rFonts w:asciiTheme="minorHAnsi" w:eastAsiaTheme="minorHAnsi" w:hAnsiTheme="minorHAnsi"/>
                <w:spacing w:val="-1"/>
                <w:sz w:val="22"/>
                <w:szCs w:val="20"/>
              </w:rPr>
              <w:t xml:space="preserve"> Do you support ETFs, ETMFs, and ETSPs that take the form of Collective Investment Products being required to include in their annual report their TSR for different nominated periods? If so, how would you define “TSR” and for what periods do you think they should report their TSR? If not, why not?</w:t>
            </w:r>
          </w:p>
        </w:tc>
        <w:tc>
          <w:tcPr>
            <w:tcW w:w="7280" w:type="dxa"/>
          </w:tcPr>
          <w:p w14:paraId="2E422056"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E7D4B21" w14:textId="204C6818"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689845FE" w14:textId="17B7F5C6" w:rsidTr="00410D3C">
        <w:trPr>
          <w:cantSplit/>
        </w:trPr>
        <w:tc>
          <w:tcPr>
            <w:tcW w:w="7280" w:type="dxa"/>
          </w:tcPr>
          <w:p w14:paraId="1882AFA0" w14:textId="07B9ED82"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lastRenderedPageBreak/>
              <w:t>Question 11.3.6:</w:t>
            </w:r>
            <w:r w:rsidRPr="002444A1">
              <w:rPr>
                <w:rFonts w:asciiTheme="minorHAnsi" w:eastAsiaTheme="minorHAnsi" w:hAnsiTheme="minorHAnsi"/>
                <w:spacing w:val="-1"/>
                <w:sz w:val="22"/>
                <w:szCs w:val="20"/>
              </w:rPr>
              <w:t xml:space="preserve"> Should an ETF, ETMF, or ETSP that takes the form of a Collective Investment Product which has as its investment objective replicating or exceeding the return on a particular index or other benchmark be required to include in its annual report a comparison of its performance against that index or benchmark over the reporting period</w:t>
            </w:r>
            <w:r w:rsidRPr="002444A1">
              <w:rPr>
                <w:rFonts w:asciiTheme="minorHAnsi" w:eastAsiaTheme="minorHAnsi" w:hAnsiTheme="minorHAnsi" w:cstheme="minorHAnsi"/>
                <w:spacing w:val="-1"/>
                <w:sz w:val="22"/>
                <w:szCs w:val="22"/>
              </w:rPr>
              <w:t>? If so, how should it go about making that comparison? If not, why not?</w:t>
            </w:r>
          </w:p>
        </w:tc>
        <w:tc>
          <w:tcPr>
            <w:tcW w:w="7280" w:type="dxa"/>
          </w:tcPr>
          <w:p w14:paraId="3432F7E8"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75C7D08" w14:textId="22DDDB4E"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5C4BFEB" w14:textId="0235560E" w:rsidTr="00410D3C">
        <w:trPr>
          <w:cantSplit/>
        </w:trPr>
        <w:tc>
          <w:tcPr>
            <w:tcW w:w="7280" w:type="dxa"/>
          </w:tcPr>
          <w:p w14:paraId="34C21C4F" w14:textId="6BA1E65B"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11.3.7:</w:t>
            </w:r>
            <w:r w:rsidRPr="002444A1">
              <w:rPr>
                <w:rFonts w:asciiTheme="minorHAnsi" w:eastAsiaTheme="minorHAnsi" w:hAnsiTheme="minorHAnsi"/>
                <w:spacing w:val="-1"/>
                <w:sz w:val="22"/>
                <w:szCs w:val="20"/>
              </w:rPr>
              <w:t xml:space="preserve"> </w:t>
            </w:r>
            <w:r w:rsidRPr="002444A1">
              <w:rPr>
                <w:rFonts w:asciiTheme="minorHAnsi" w:eastAsiaTheme="minorHAnsi" w:hAnsiTheme="minorHAnsi" w:cstheme="minorHAnsi"/>
                <w:spacing w:val="-1"/>
                <w:sz w:val="22"/>
                <w:szCs w:val="22"/>
              </w:rPr>
              <w:t xml:space="preserve">Are there any other performance metrics that you think </w:t>
            </w:r>
            <w:r w:rsidRPr="002444A1">
              <w:rPr>
                <w:rFonts w:asciiTheme="minorHAnsi" w:eastAsiaTheme="minorHAnsi" w:hAnsiTheme="minorHAnsi"/>
                <w:spacing w:val="-1"/>
                <w:sz w:val="22"/>
                <w:szCs w:val="20"/>
              </w:rPr>
              <w:t xml:space="preserve">ETFs, ETMFs, </w:t>
            </w:r>
            <w:r w:rsidRPr="002444A1">
              <w:rPr>
                <w:rFonts w:cstheme="minorHAnsi"/>
                <w:szCs w:val="22"/>
              </w:rPr>
              <w:t xml:space="preserve">or </w:t>
            </w:r>
            <w:r w:rsidRPr="002444A1">
              <w:rPr>
                <w:rFonts w:asciiTheme="minorHAnsi" w:eastAsiaTheme="minorHAnsi" w:hAnsiTheme="minorHAnsi"/>
                <w:spacing w:val="-1"/>
                <w:sz w:val="22"/>
                <w:szCs w:val="20"/>
              </w:rPr>
              <w:t xml:space="preserve">ETSPs that take the form of </w:t>
            </w:r>
            <w:r w:rsidRPr="002444A1">
              <w:t xml:space="preserve">a </w:t>
            </w:r>
            <w:r w:rsidRPr="002444A1">
              <w:rPr>
                <w:rFonts w:asciiTheme="minorHAnsi" w:eastAsiaTheme="minorHAnsi" w:hAnsiTheme="minorHAnsi"/>
                <w:spacing w:val="-1"/>
                <w:sz w:val="22"/>
                <w:szCs w:val="20"/>
              </w:rPr>
              <w:t>Collective Investment Product should be required to report to their investors? If yes, what are those metrics and where and with what frequency should those metrics be published?</w:t>
            </w:r>
          </w:p>
        </w:tc>
        <w:tc>
          <w:tcPr>
            <w:tcW w:w="7280" w:type="dxa"/>
          </w:tcPr>
          <w:p w14:paraId="6BAE0150"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33308C3" w14:textId="5292FAD8"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741B94FD" w14:textId="67E40B17" w:rsidTr="00C113C4">
        <w:trPr>
          <w:cantSplit/>
        </w:trPr>
        <w:tc>
          <w:tcPr>
            <w:tcW w:w="14560" w:type="dxa"/>
            <w:gridSpan w:val="2"/>
            <w:shd w:val="clear" w:color="auto" w:fill="F2F2F2" w:themeFill="background1" w:themeFillShade="F2"/>
          </w:tcPr>
          <w:p w14:paraId="328A5191" w14:textId="3ED1DFF8"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11.4</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Performance reporting</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 possible uniform reporting standard</w:t>
            </w:r>
          </w:p>
        </w:tc>
      </w:tr>
      <w:tr w:rsidR="00FF1055" w:rsidRPr="002444A1" w14:paraId="7D06828D" w14:textId="7F67E3D7" w:rsidTr="00410D3C">
        <w:trPr>
          <w:cantSplit/>
        </w:trPr>
        <w:tc>
          <w:tcPr>
            <w:tcW w:w="7280" w:type="dxa"/>
          </w:tcPr>
          <w:p w14:paraId="612FACD6" w14:textId="294D3128" w:rsidR="00FF1055" w:rsidRPr="002444A1" w:rsidRDefault="00FF1055" w:rsidP="00ED258B">
            <w:pPr>
              <w:pStyle w:val="Definitionlist"/>
              <w:spacing w:before="0" w:after="0"/>
              <w:ind w:left="0" w:firstLine="0"/>
              <w:rPr>
                <w:rFonts w:asciiTheme="minorHAnsi" w:eastAsiaTheme="minorHAnsi" w:hAnsiTheme="minorHAnsi" w:cstheme="minorHAnsi"/>
                <w:spacing w:val="-1"/>
                <w:sz w:val="22"/>
                <w:szCs w:val="22"/>
              </w:rPr>
            </w:pPr>
            <w:r w:rsidRPr="002444A1">
              <w:rPr>
                <w:rFonts w:asciiTheme="minorHAnsi" w:eastAsiaTheme="minorHAnsi" w:hAnsiTheme="minorHAnsi"/>
                <w:b/>
                <w:color w:val="009FDF" w:themeColor="accent2"/>
                <w:spacing w:val="-1"/>
                <w:sz w:val="22"/>
                <w:szCs w:val="20"/>
              </w:rPr>
              <w:t>Question 11.4.1:</w:t>
            </w:r>
            <w:r w:rsidRPr="002444A1">
              <w:rPr>
                <w:rFonts w:asciiTheme="minorHAnsi" w:eastAsiaTheme="minorHAnsi" w:hAnsiTheme="minorHAnsi"/>
                <w:spacing w:val="-1"/>
                <w:sz w:val="22"/>
                <w:szCs w:val="20"/>
              </w:rPr>
              <w:t xml:space="preserve"> Do you support </w:t>
            </w:r>
            <w:r w:rsidRPr="002444A1">
              <w:rPr>
                <w:rFonts w:asciiTheme="minorHAnsi" w:eastAsiaTheme="minorHAnsi" w:hAnsiTheme="minorHAnsi" w:cstheme="minorHAnsi"/>
                <w:spacing w:val="-1"/>
                <w:sz w:val="22"/>
                <w:szCs w:val="22"/>
              </w:rPr>
              <w:t xml:space="preserve">ASX introducing a new Listing Rule and AQUA Rule mandating the use of FSC Standard 6 for all ASX listed or quoted </w:t>
            </w:r>
            <w:r w:rsidRPr="002444A1">
              <w:rPr>
                <w:rFonts w:asciiTheme="minorHAnsi" w:eastAsiaTheme="minorHAnsi" w:hAnsiTheme="minorHAnsi"/>
                <w:spacing w:val="-1"/>
                <w:sz w:val="22"/>
                <w:szCs w:val="20"/>
              </w:rPr>
              <w:t xml:space="preserve">Collective Investment Products </w:t>
            </w:r>
            <w:r w:rsidRPr="002444A1">
              <w:rPr>
                <w:rFonts w:asciiTheme="minorHAnsi" w:eastAsiaTheme="minorHAnsi" w:hAnsiTheme="minorHAnsi" w:cstheme="minorHAnsi"/>
                <w:spacing w:val="-1"/>
                <w:sz w:val="22"/>
                <w:szCs w:val="22"/>
              </w:rPr>
              <w:t>to calculate the</w:t>
            </w:r>
            <w:r w:rsidRPr="002444A1">
              <w:rPr>
                <w:rFonts w:asciiTheme="minorHAnsi" w:eastAsiaTheme="minorHAnsi" w:hAnsiTheme="minorHAnsi"/>
                <w:spacing w:val="-1"/>
                <w:sz w:val="22"/>
                <w:szCs w:val="20"/>
              </w:rPr>
              <w:t>ir TSR</w:t>
            </w:r>
            <w:r w:rsidRPr="002444A1">
              <w:rPr>
                <w:rFonts w:asciiTheme="minorHAnsi" w:eastAsiaTheme="minorHAnsi" w:hAnsiTheme="minorHAnsi" w:cstheme="minorHAnsi"/>
                <w:spacing w:val="-1"/>
                <w:sz w:val="22"/>
                <w:szCs w:val="22"/>
              </w:rPr>
              <w:t>? If not, why not?</w:t>
            </w:r>
          </w:p>
        </w:tc>
        <w:tc>
          <w:tcPr>
            <w:tcW w:w="7280" w:type="dxa"/>
          </w:tcPr>
          <w:p w14:paraId="7E5B10DF"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F9CA9D6" w14:textId="444DF920"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E84CAA6" w14:textId="482C64F6" w:rsidTr="00410D3C">
        <w:trPr>
          <w:cantSplit/>
        </w:trPr>
        <w:tc>
          <w:tcPr>
            <w:tcW w:w="7280" w:type="dxa"/>
          </w:tcPr>
          <w:p w14:paraId="7DCB623D" w14:textId="293962B1"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 xml:space="preserve">Question 11.4.2: </w:t>
            </w:r>
            <w:r w:rsidRPr="002444A1">
              <w:rPr>
                <w:rFonts w:asciiTheme="minorHAnsi" w:eastAsiaTheme="minorHAnsi" w:hAnsiTheme="minorHAnsi"/>
                <w:spacing w:val="-1"/>
                <w:sz w:val="22"/>
                <w:szCs w:val="20"/>
              </w:rPr>
              <w:t>Are there any difficulties that you can foresee in applying FSC Standard 6 to LICs or ETFs? If so, what are they and how could they be addressed?</w:t>
            </w:r>
          </w:p>
        </w:tc>
        <w:tc>
          <w:tcPr>
            <w:tcW w:w="7280" w:type="dxa"/>
          </w:tcPr>
          <w:p w14:paraId="01BC5D72"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A2A129F" w14:textId="27B9108B"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2A1A62E9" w14:textId="6B19551F" w:rsidTr="00410D3C">
        <w:trPr>
          <w:cantSplit/>
        </w:trPr>
        <w:tc>
          <w:tcPr>
            <w:tcW w:w="7280" w:type="dxa"/>
          </w:tcPr>
          <w:p w14:paraId="475F3253" w14:textId="7DD5866A"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11.4.3:</w:t>
            </w:r>
            <w:r w:rsidRPr="002444A1">
              <w:rPr>
                <w:rFonts w:asciiTheme="minorHAnsi" w:eastAsiaTheme="minorHAnsi" w:hAnsiTheme="minorHAnsi"/>
                <w:spacing w:val="-1"/>
                <w:sz w:val="22"/>
                <w:szCs w:val="20"/>
              </w:rPr>
              <w:t xml:space="preserve"> If you don’t support </w:t>
            </w:r>
            <w:r w:rsidRPr="002444A1">
              <w:rPr>
                <w:rFonts w:asciiTheme="minorHAnsi" w:eastAsiaTheme="minorHAnsi" w:hAnsiTheme="minorHAnsi" w:cstheme="minorHAnsi"/>
                <w:spacing w:val="-1"/>
                <w:sz w:val="22"/>
                <w:szCs w:val="22"/>
              </w:rPr>
              <w:t xml:space="preserve">mandating the use of FSC Standard 6 for all ASX listed or quoted </w:t>
            </w:r>
            <w:r w:rsidRPr="002444A1">
              <w:rPr>
                <w:rFonts w:asciiTheme="minorHAnsi" w:eastAsiaTheme="minorHAnsi" w:hAnsiTheme="minorHAnsi"/>
                <w:spacing w:val="-1"/>
                <w:sz w:val="22"/>
                <w:szCs w:val="20"/>
              </w:rPr>
              <w:t xml:space="preserve">Collective Investment Products </w:t>
            </w:r>
            <w:r w:rsidRPr="002444A1">
              <w:rPr>
                <w:rFonts w:asciiTheme="minorHAnsi" w:eastAsiaTheme="minorHAnsi" w:hAnsiTheme="minorHAnsi" w:cstheme="minorHAnsi"/>
                <w:spacing w:val="-1"/>
                <w:sz w:val="22"/>
                <w:szCs w:val="22"/>
              </w:rPr>
              <w:t>to calculate the</w:t>
            </w:r>
            <w:r w:rsidRPr="002444A1">
              <w:rPr>
                <w:rFonts w:asciiTheme="minorHAnsi" w:eastAsiaTheme="minorHAnsi" w:hAnsiTheme="minorHAnsi"/>
                <w:spacing w:val="-1"/>
                <w:sz w:val="22"/>
                <w:szCs w:val="20"/>
              </w:rPr>
              <w:t>ir TSR, what standard would you recommend</w:t>
            </w:r>
            <w:r w:rsidRPr="002444A1">
              <w:rPr>
                <w:rFonts w:asciiTheme="minorHAnsi" w:eastAsiaTheme="minorHAnsi" w:hAnsiTheme="minorHAnsi" w:cstheme="minorHAnsi"/>
                <w:spacing w:val="-1"/>
                <w:sz w:val="22"/>
                <w:szCs w:val="22"/>
              </w:rPr>
              <w:t>?</w:t>
            </w:r>
          </w:p>
        </w:tc>
        <w:tc>
          <w:tcPr>
            <w:tcW w:w="7280" w:type="dxa"/>
          </w:tcPr>
          <w:p w14:paraId="00C0530C"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5E36DAA" w14:textId="14A7B46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3607D63C" w14:textId="40F2DFB6" w:rsidTr="00C113C4">
        <w:trPr>
          <w:cantSplit/>
        </w:trPr>
        <w:tc>
          <w:tcPr>
            <w:tcW w:w="14560" w:type="dxa"/>
            <w:gridSpan w:val="2"/>
            <w:shd w:val="clear" w:color="auto" w:fill="F2F2F2" w:themeFill="background1" w:themeFillShade="F2"/>
          </w:tcPr>
          <w:p w14:paraId="407D1180" w14:textId="2AA7CB47" w:rsidR="00824728" w:rsidRPr="00C113C4" w:rsidRDefault="00824728" w:rsidP="00ED258B">
            <w:pPr>
              <w:pStyle w:val="ListBullet"/>
              <w:keepNext/>
              <w:spacing w:after="0"/>
              <w:ind w:left="0"/>
              <w:rPr>
                <w:rFonts w:asciiTheme="majorHAnsi" w:hAnsiTheme="majorHAnsi" w:cs="Arial"/>
                <w:b/>
                <w:bCs/>
                <w:color w:val="0070C0"/>
                <w:sz w:val="28"/>
                <w:szCs w:val="28"/>
              </w:rPr>
            </w:pPr>
            <w:r w:rsidRPr="00C113C4">
              <w:rPr>
                <w:rFonts w:asciiTheme="majorHAnsi" w:hAnsiTheme="majorHAnsi" w:cs="Arial"/>
                <w:b/>
                <w:bCs/>
                <w:color w:val="0070C0"/>
                <w:sz w:val="24"/>
                <w:szCs w:val="24"/>
              </w:rPr>
              <w:t>12.2</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Liquidity support</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AQUA Product liquidity support requirements</w:t>
            </w:r>
          </w:p>
        </w:tc>
      </w:tr>
      <w:tr w:rsidR="00FF1055" w:rsidRPr="002444A1" w14:paraId="532198D5" w14:textId="27685324" w:rsidTr="00410D3C">
        <w:trPr>
          <w:cantSplit/>
        </w:trPr>
        <w:tc>
          <w:tcPr>
            <w:tcW w:w="7280" w:type="dxa"/>
          </w:tcPr>
          <w:p w14:paraId="1E98487D" w14:textId="3317E17F"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12.2.1:</w:t>
            </w:r>
            <w:r w:rsidRPr="002444A1">
              <w:rPr>
                <w:rFonts w:asciiTheme="minorHAnsi" w:eastAsiaTheme="minorHAnsi" w:hAnsiTheme="minorHAnsi"/>
                <w:spacing w:val="-1"/>
                <w:sz w:val="22"/>
                <w:szCs w:val="20"/>
              </w:rPr>
              <w:t xml:space="preserve"> Are there any issues with the existing liquidity support arrangements for AQUA Products that you would like to see addressed in any re-write of the AQUA Rules?</w:t>
            </w:r>
          </w:p>
        </w:tc>
        <w:tc>
          <w:tcPr>
            <w:tcW w:w="7280" w:type="dxa"/>
          </w:tcPr>
          <w:p w14:paraId="14AF842D"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84A66BD" w14:textId="08287F7D"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1D1D5D44" w14:textId="095458A0" w:rsidTr="00C113C4">
        <w:trPr>
          <w:cantSplit/>
        </w:trPr>
        <w:tc>
          <w:tcPr>
            <w:tcW w:w="14560" w:type="dxa"/>
            <w:gridSpan w:val="2"/>
            <w:shd w:val="clear" w:color="auto" w:fill="F2F2F2" w:themeFill="background1" w:themeFillShade="F2"/>
          </w:tcPr>
          <w:p w14:paraId="03D89E30" w14:textId="7CC5E27C"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lastRenderedPageBreak/>
              <w:t>12.3</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Liquidity support</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Warrant liquidity support requirements</w:t>
            </w:r>
          </w:p>
        </w:tc>
      </w:tr>
      <w:tr w:rsidR="00FF1055" w:rsidRPr="002444A1" w14:paraId="44ABB29E" w14:textId="2839436C" w:rsidTr="00410D3C">
        <w:trPr>
          <w:cantSplit/>
        </w:trPr>
        <w:tc>
          <w:tcPr>
            <w:tcW w:w="7280" w:type="dxa"/>
          </w:tcPr>
          <w:p w14:paraId="0A8FAB4F" w14:textId="1DF02532"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12.3.1:</w:t>
            </w:r>
            <w:r w:rsidRPr="002444A1">
              <w:rPr>
                <w:rFonts w:asciiTheme="minorHAnsi" w:eastAsiaTheme="minorHAnsi" w:hAnsiTheme="minorHAnsi"/>
                <w:spacing w:val="-1"/>
                <w:sz w:val="22"/>
                <w:szCs w:val="20"/>
              </w:rPr>
              <w:t xml:space="preserve"> Are there any issues with the existing liquidity support arrangements for Warrants that you would like to see addressed in any re-write of the Warrant Rules?</w:t>
            </w:r>
          </w:p>
        </w:tc>
        <w:tc>
          <w:tcPr>
            <w:tcW w:w="7280" w:type="dxa"/>
          </w:tcPr>
          <w:p w14:paraId="5B6A4992"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7DC519D" w14:textId="7DBD1F64"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5CBDB86E" w14:textId="1A33C389" w:rsidTr="00C113C4">
        <w:trPr>
          <w:cantSplit/>
        </w:trPr>
        <w:tc>
          <w:tcPr>
            <w:tcW w:w="14560" w:type="dxa"/>
            <w:gridSpan w:val="2"/>
            <w:shd w:val="clear" w:color="auto" w:fill="F2F2F2" w:themeFill="background1" w:themeFillShade="F2"/>
          </w:tcPr>
          <w:p w14:paraId="4EE12DE5" w14:textId="3BA2D6C8"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12.4</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Liquidity support</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Listed Investment Product liquidity support requirements</w:t>
            </w:r>
          </w:p>
        </w:tc>
      </w:tr>
      <w:tr w:rsidR="00FF1055" w:rsidRPr="002444A1" w14:paraId="78D487ED" w14:textId="2FAA7CD7" w:rsidTr="00410D3C">
        <w:trPr>
          <w:cantSplit/>
        </w:trPr>
        <w:tc>
          <w:tcPr>
            <w:tcW w:w="7280" w:type="dxa"/>
          </w:tcPr>
          <w:p w14:paraId="75592B06" w14:textId="7F20FEA8"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12.4.1:</w:t>
            </w:r>
            <w:r w:rsidRPr="002444A1">
              <w:rPr>
                <w:rFonts w:asciiTheme="minorHAnsi" w:eastAsiaTheme="minorHAnsi" w:hAnsiTheme="minorHAnsi"/>
                <w:spacing w:val="-1"/>
                <w:sz w:val="22"/>
                <w:szCs w:val="20"/>
              </w:rPr>
              <w:t xml:space="preserve"> Do you think that it might assist the share/unit price of a LIC/LIT to track its NTA backing more closely if the LIC/LIT were to publish an indicative NTA backing to the market during market hours that is independently calculated and frequently updated? If so, why? If not, why not?</w:t>
            </w:r>
          </w:p>
        </w:tc>
        <w:tc>
          <w:tcPr>
            <w:tcW w:w="7280" w:type="dxa"/>
          </w:tcPr>
          <w:p w14:paraId="00D55E1A"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A8404FE" w14:textId="2B6C9D2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2EA5910C" w14:textId="75C069A6" w:rsidTr="00410D3C">
        <w:trPr>
          <w:cantSplit/>
        </w:trPr>
        <w:tc>
          <w:tcPr>
            <w:tcW w:w="7280" w:type="dxa"/>
          </w:tcPr>
          <w:p w14:paraId="0C6F8DF4" w14:textId="4C1B7ECD"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12.4.2:</w:t>
            </w:r>
            <w:r w:rsidRPr="002444A1">
              <w:rPr>
                <w:rFonts w:asciiTheme="minorHAnsi" w:eastAsiaTheme="minorHAnsi" w:hAnsiTheme="minorHAnsi"/>
                <w:spacing w:val="-1"/>
                <w:sz w:val="22"/>
                <w:szCs w:val="20"/>
              </w:rPr>
              <w:t xml:space="preserve"> As a fall-back, do you think </w:t>
            </w:r>
            <w:r w:rsidRPr="002444A1">
              <w:rPr>
                <w:rFonts w:asciiTheme="minorHAnsi" w:eastAsiaTheme="minorHAnsi" w:hAnsiTheme="minorHAnsi"/>
                <w:spacing w:val="-1"/>
                <w:sz w:val="22"/>
              </w:rPr>
              <w:t>that it might assist the share/unit price of a LIC/LIT</w:t>
            </w:r>
            <w:r w:rsidRPr="002444A1">
              <w:rPr>
                <w:rFonts w:asciiTheme="minorHAnsi" w:eastAsiaTheme="minorHAnsi" w:hAnsiTheme="minorHAnsi"/>
                <w:spacing w:val="-1"/>
                <w:sz w:val="22"/>
                <w:szCs w:val="20"/>
              </w:rPr>
              <w:t xml:space="preserve"> to track its NTA backing more closely if the LIC/LIT were to publish an independently calculated end-of-day indicative NTA backing to the market prior to the commencement of trading on the next trading day? If so, why? If not, why not?</w:t>
            </w:r>
          </w:p>
        </w:tc>
        <w:tc>
          <w:tcPr>
            <w:tcW w:w="7280" w:type="dxa"/>
          </w:tcPr>
          <w:p w14:paraId="3502C337"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1A1FC4A" w14:textId="2C64E06F"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27AEF659" w14:textId="6E588DCE" w:rsidTr="00410D3C">
        <w:trPr>
          <w:cantSplit/>
        </w:trPr>
        <w:tc>
          <w:tcPr>
            <w:tcW w:w="7280" w:type="dxa"/>
          </w:tcPr>
          <w:p w14:paraId="20BA572C" w14:textId="79A25F4B"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12.4.3:</w:t>
            </w:r>
            <w:r w:rsidRPr="002444A1">
              <w:rPr>
                <w:rFonts w:asciiTheme="minorHAnsi" w:eastAsiaTheme="minorHAnsi" w:hAnsiTheme="minorHAnsi"/>
                <w:spacing w:val="-1"/>
                <w:sz w:val="22"/>
                <w:szCs w:val="20"/>
              </w:rPr>
              <w:t xml:space="preserve"> Noting that there will be some LICs/LITs with asset portfolios that are net readily valued on a frequent basis or for which an iNAV may not necessarily be all that accurate, if your answer to question 12.4.1 or 12.4.2 is “yes”, how would you go about identifying those LICs/LITs that would benefit from publishing more frequent information about their iNAV and encouraging them to do so?</w:t>
            </w:r>
          </w:p>
        </w:tc>
        <w:tc>
          <w:tcPr>
            <w:tcW w:w="7280" w:type="dxa"/>
          </w:tcPr>
          <w:p w14:paraId="04028CEE"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644F977" w14:textId="33028DB1"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0A64E58" w14:textId="2F233E25" w:rsidTr="00410D3C">
        <w:trPr>
          <w:cantSplit/>
        </w:trPr>
        <w:tc>
          <w:tcPr>
            <w:tcW w:w="7280" w:type="dxa"/>
          </w:tcPr>
          <w:p w14:paraId="7E2D731E" w14:textId="50CC33F3"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12.4.4:</w:t>
            </w:r>
            <w:r w:rsidRPr="002444A1">
              <w:rPr>
                <w:rFonts w:asciiTheme="minorHAnsi" w:eastAsiaTheme="minorHAnsi" w:hAnsiTheme="minorHAnsi"/>
                <w:spacing w:val="-1"/>
                <w:sz w:val="22"/>
                <w:szCs w:val="20"/>
              </w:rPr>
              <w:t xml:space="preserve"> Short of allowing LICs and LITs to have treasury stock, are there any changes that could be made to the laws in Australia regulating buy-backs that might assist LICs and LITs to better address the propensity for their securities to trade at a discount to the NTA backing? If so, what are they and how would they help?</w:t>
            </w:r>
          </w:p>
        </w:tc>
        <w:tc>
          <w:tcPr>
            <w:tcW w:w="7280" w:type="dxa"/>
          </w:tcPr>
          <w:p w14:paraId="1A809F9A"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613EB34" w14:textId="46CF51C4"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BCD2921" w14:textId="75331AF4" w:rsidTr="00410D3C">
        <w:trPr>
          <w:cantSplit/>
        </w:trPr>
        <w:tc>
          <w:tcPr>
            <w:tcW w:w="7280" w:type="dxa"/>
          </w:tcPr>
          <w:p w14:paraId="771856F7" w14:textId="2A85677B"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lastRenderedPageBreak/>
              <w:t>Question 12.4.5:</w:t>
            </w:r>
            <w:r w:rsidRPr="002444A1">
              <w:rPr>
                <w:rFonts w:asciiTheme="minorHAnsi" w:eastAsiaTheme="minorHAnsi" w:hAnsiTheme="minorHAnsi"/>
                <w:spacing w:val="-1"/>
                <w:sz w:val="22"/>
                <w:szCs w:val="20"/>
              </w:rPr>
              <w:t xml:space="preserve"> Are there any other measures that could be implemented to address the propensity for the securities of a LIC or LIT to trade at a discount to the NTA backing? What are they and how would they help?</w:t>
            </w:r>
          </w:p>
        </w:tc>
        <w:tc>
          <w:tcPr>
            <w:tcW w:w="7280" w:type="dxa"/>
          </w:tcPr>
          <w:p w14:paraId="7A77F2FF"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49E0697" w14:textId="054D1DAC"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5AF0DACA" w14:textId="7D6FA3BF" w:rsidTr="00C113C4">
        <w:trPr>
          <w:cantSplit/>
        </w:trPr>
        <w:tc>
          <w:tcPr>
            <w:tcW w:w="14560" w:type="dxa"/>
            <w:gridSpan w:val="2"/>
            <w:shd w:val="clear" w:color="auto" w:fill="F2F2F2" w:themeFill="background1" w:themeFillShade="F2"/>
          </w:tcPr>
          <w:p w14:paraId="3EE9CEDF" w14:textId="14A5F337"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12.5</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Liquidity support</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AQUA Products with dual on-market/off-market entry and exit mechanisms</w:t>
            </w:r>
          </w:p>
        </w:tc>
      </w:tr>
      <w:tr w:rsidR="00FF1055" w:rsidRPr="002444A1" w14:paraId="421E3E92" w14:textId="2AB21DD9" w:rsidTr="00410D3C">
        <w:trPr>
          <w:cantSplit/>
        </w:trPr>
        <w:tc>
          <w:tcPr>
            <w:tcW w:w="7280" w:type="dxa"/>
          </w:tcPr>
          <w:p w14:paraId="65066A05" w14:textId="2950F0B6"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12.5.1:</w:t>
            </w:r>
            <w:r w:rsidRPr="002444A1">
              <w:rPr>
                <w:rFonts w:asciiTheme="minorHAnsi" w:eastAsiaTheme="minorHAnsi" w:hAnsiTheme="minorHAnsi"/>
                <w:spacing w:val="-1"/>
                <w:sz w:val="22"/>
                <w:szCs w:val="20"/>
              </w:rPr>
              <w:t xml:space="preserve"> Do you have any views about hybrid structures where an AQUA Product has dual on-market/off-market entry and exit mechanisms? What do you see as the advantages and disadvantages of these hybrid structures? Do you see any particular risks associated with, or have any other concerns about, these hybrid structures that you would like to see addressed in any re-write of the AQUA Rules?</w:t>
            </w:r>
          </w:p>
        </w:tc>
        <w:tc>
          <w:tcPr>
            <w:tcW w:w="7280" w:type="dxa"/>
          </w:tcPr>
          <w:p w14:paraId="757887FB"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E2FE9B3" w14:textId="06368AD4"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20680CD5" w14:textId="5F251FAA" w:rsidTr="00C113C4">
        <w:trPr>
          <w:cantSplit/>
        </w:trPr>
        <w:tc>
          <w:tcPr>
            <w:tcW w:w="14560" w:type="dxa"/>
            <w:gridSpan w:val="2"/>
            <w:shd w:val="clear" w:color="auto" w:fill="F2F2F2" w:themeFill="background1" w:themeFillShade="F2"/>
          </w:tcPr>
          <w:p w14:paraId="2E3C99F8" w14:textId="7CA66819" w:rsidR="00824728" w:rsidRPr="00C113C4" w:rsidRDefault="00824728" w:rsidP="00ED258B">
            <w:pPr>
              <w:pStyle w:val="ListBullet"/>
              <w:keepNext/>
              <w:spacing w:after="0"/>
              <w:ind w:left="0"/>
              <w:rPr>
                <w:rFonts w:asciiTheme="majorHAnsi" w:hAnsiTheme="majorHAnsi" w:cs="Arial"/>
                <w:b/>
                <w:bCs/>
                <w:color w:val="0070C0"/>
                <w:sz w:val="28"/>
                <w:szCs w:val="28"/>
              </w:rPr>
            </w:pPr>
            <w:r w:rsidRPr="00C113C4">
              <w:rPr>
                <w:rFonts w:asciiTheme="majorHAnsi" w:hAnsiTheme="majorHAnsi" w:cs="Arial"/>
                <w:b/>
                <w:bCs/>
                <w:color w:val="0070C0"/>
                <w:sz w:val="24"/>
                <w:szCs w:val="24"/>
              </w:rPr>
              <w:t>13.2</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The funds that qualify for admission to the mFund Settlement Service</w:t>
            </w:r>
          </w:p>
        </w:tc>
      </w:tr>
      <w:tr w:rsidR="00FF1055" w:rsidRPr="002444A1" w14:paraId="614A03A1" w14:textId="7388CDB6" w:rsidTr="00410D3C">
        <w:trPr>
          <w:cantSplit/>
        </w:trPr>
        <w:tc>
          <w:tcPr>
            <w:tcW w:w="7280" w:type="dxa"/>
          </w:tcPr>
          <w:p w14:paraId="6DE0B9EF" w14:textId="744E0FA7"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13.2.1:</w:t>
            </w:r>
            <w:r w:rsidRPr="002444A1">
              <w:rPr>
                <w:rFonts w:asciiTheme="minorHAnsi" w:eastAsiaTheme="minorHAnsi" w:hAnsiTheme="minorHAnsi"/>
                <w:spacing w:val="-1"/>
                <w:sz w:val="22"/>
                <w:szCs w:val="20"/>
              </w:rPr>
              <w:t xml:space="preserve"> Do you support amending the AQUA Rules to allow any Unlisted Managed Fund that is registered as a managed investment scheme in Australia to be admitted to settlement via the mFund Settlement Service? If not, why not?</w:t>
            </w:r>
          </w:p>
        </w:tc>
        <w:tc>
          <w:tcPr>
            <w:tcW w:w="7280" w:type="dxa"/>
          </w:tcPr>
          <w:p w14:paraId="52847242"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248AC36" w14:textId="5C2A016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8D516BD" w14:textId="19037F71" w:rsidTr="00410D3C">
        <w:trPr>
          <w:cantSplit/>
        </w:trPr>
        <w:tc>
          <w:tcPr>
            <w:tcW w:w="7280" w:type="dxa"/>
          </w:tcPr>
          <w:p w14:paraId="6F7A106D" w14:textId="617A7D27"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13.2.2:</w:t>
            </w:r>
            <w:r w:rsidRPr="002444A1">
              <w:rPr>
                <w:rFonts w:asciiTheme="minorHAnsi" w:eastAsiaTheme="minorHAnsi" w:hAnsiTheme="minorHAnsi"/>
                <w:spacing w:val="-1"/>
                <w:sz w:val="22"/>
                <w:szCs w:val="20"/>
              </w:rPr>
              <w:t xml:space="preserve"> Do you support amending the AQUA Rules to allow any entity that qualifies to be an Approved Issuer of AQUA Products and can lawfully offer its shares or units to retail investors in Australia to be admitted to settlement via the mFund Settlement Service? If not, why not?</w:t>
            </w:r>
          </w:p>
        </w:tc>
        <w:tc>
          <w:tcPr>
            <w:tcW w:w="7280" w:type="dxa"/>
          </w:tcPr>
          <w:p w14:paraId="1A5B9BE2"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63CD423" w14:textId="1ADC8EB6"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1C72F8C" w14:textId="56A3247F" w:rsidTr="00410D3C">
        <w:trPr>
          <w:cantSplit/>
        </w:trPr>
        <w:tc>
          <w:tcPr>
            <w:tcW w:w="7280" w:type="dxa"/>
          </w:tcPr>
          <w:p w14:paraId="61D6354A" w14:textId="40DDC46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13.2.3:</w:t>
            </w:r>
            <w:r w:rsidRPr="002444A1">
              <w:rPr>
                <w:rFonts w:asciiTheme="minorHAnsi" w:eastAsiaTheme="minorHAnsi" w:hAnsiTheme="minorHAnsi"/>
                <w:spacing w:val="-1"/>
                <w:sz w:val="22"/>
                <w:szCs w:val="20"/>
              </w:rPr>
              <w:t xml:space="preserve"> Are there additional things ASX could or should require of mFunds or brokers transacting in mFunds for their clients, over and above the protective measures mentioned in sections 13.3 and 13.4 of this consultation paper, to reduce the risk of retails clients not understanding that mFund units are not traded on ASX or the different settlement cycles that apply to mFunds compared to products that are traded on ASX?</w:t>
            </w:r>
          </w:p>
        </w:tc>
        <w:tc>
          <w:tcPr>
            <w:tcW w:w="7280" w:type="dxa"/>
          </w:tcPr>
          <w:p w14:paraId="0499A8DB"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BBBF78D" w14:textId="3F463CDC"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2FD2D5F" w14:textId="0514A6C8" w:rsidTr="00410D3C">
        <w:trPr>
          <w:cantSplit/>
        </w:trPr>
        <w:tc>
          <w:tcPr>
            <w:tcW w:w="7280" w:type="dxa"/>
          </w:tcPr>
          <w:p w14:paraId="0177FBA2" w14:textId="406C24B1"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lastRenderedPageBreak/>
              <w:t>Question 13.2.4:</w:t>
            </w:r>
            <w:r w:rsidRPr="002444A1">
              <w:rPr>
                <w:rFonts w:asciiTheme="minorHAnsi" w:eastAsiaTheme="minorHAnsi" w:hAnsiTheme="minorHAnsi"/>
                <w:b/>
                <w:spacing w:val="-1"/>
                <w:sz w:val="22"/>
                <w:szCs w:val="20"/>
              </w:rPr>
              <w:t xml:space="preserve"> </w:t>
            </w:r>
            <w:r w:rsidRPr="002444A1">
              <w:rPr>
                <w:rFonts w:asciiTheme="minorHAnsi" w:eastAsiaTheme="minorHAnsi" w:hAnsiTheme="minorHAnsi"/>
                <w:spacing w:val="-1"/>
                <w:sz w:val="22"/>
                <w:szCs w:val="20"/>
              </w:rPr>
              <w:t>Are there additional things ASX could or should do itself (for example, with the disclosures and disclaimers on the ASX mFund website) to reduce the risk of retails clients not understanding that mFund units are not traded on ASX or the different settlement cycles that apply to mFunds compared to products that are traded on ASX?</w:t>
            </w:r>
          </w:p>
        </w:tc>
        <w:tc>
          <w:tcPr>
            <w:tcW w:w="7280" w:type="dxa"/>
          </w:tcPr>
          <w:p w14:paraId="7413EB63"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44EEFDF" w14:textId="4C264AE4"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2A36576" w14:textId="6354EDBD" w:rsidTr="00C113C4">
        <w:trPr>
          <w:cantSplit/>
        </w:trPr>
        <w:tc>
          <w:tcPr>
            <w:tcW w:w="14560" w:type="dxa"/>
            <w:gridSpan w:val="2"/>
            <w:shd w:val="clear" w:color="auto" w:fill="F2F2F2" w:themeFill="background1" w:themeFillShade="F2"/>
          </w:tcPr>
          <w:p w14:paraId="4C31608C" w14:textId="162BA9BB"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13.3</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The obligations of mFunds</w:t>
            </w:r>
          </w:p>
        </w:tc>
      </w:tr>
      <w:tr w:rsidR="00FF1055" w:rsidRPr="002444A1" w14:paraId="4D6FD93C" w14:textId="1D51C27D" w:rsidTr="00410D3C">
        <w:trPr>
          <w:cantSplit/>
        </w:trPr>
        <w:tc>
          <w:tcPr>
            <w:tcW w:w="7280" w:type="dxa"/>
          </w:tcPr>
          <w:p w14:paraId="1178415A" w14:textId="22B64034"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13.3.1:</w:t>
            </w:r>
            <w:r w:rsidRPr="002444A1">
              <w:rPr>
                <w:rFonts w:asciiTheme="minorHAnsi" w:eastAsiaTheme="minorHAnsi" w:hAnsiTheme="minorHAnsi"/>
                <w:spacing w:val="-1"/>
                <w:sz w:val="22"/>
                <w:szCs w:val="20"/>
              </w:rPr>
              <w:t xml:space="preserve"> Are there any particular mFund obligations mentioned in section 13.3 of the consultation paper that you view as unnecessary or unduly onerous on mFunds? Please explain your view and put forward any suggestions you may have to reduce the burden of these requirements without compromising investor protections?</w:t>
            </w:r>
          </w:p>
        </w:tc>
        <w:tc>
          <w:tcPr>
            <w:tcW w:w="7280" w:type="dxa"/>
          </w:tcPr>
          <w:p w14:paraId="09B123EA"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49EF0E7" w14:textId="34D27A78"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7732B8D0" w14:textId="408CB04D" w:rsidTr="00C113C4">
        <w:trPr>
          <w:cantSplit/>
        </w:trPr>
        <w:tc>
          <w:tcPr>
            <w:tcW w:w="14560" w:type="dxa"/>
            <w:gridSpan w:val="2"/>
            <w:shd w:val="clear" w:color="auto" w:fill="F2F2F2" w:themeFill="background1" w:themeFillShade="F2"/>
          </w:tcPr>
          <w:p w14:paraId="70544067" w14:textId="22920288"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13.4</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The obligations of brokers transacting in mFunds</w:t>
            </w:r>
          </w:p>
        </w:tc>
      </w:tr>
      <w:tr w:rsidR="00FF1055" w:rsidRPr="002444A1" w14:paraId="5ACEF61A" w14:textId="6B37A5BA" w:rsidTr="00410D3C">
        <w:trPr>
          <w:cantSplit/>
        </w:trPr>
        <w:tc>
          <w:tcPr>
            <w:tcW w:w="7280" w:type="dxa"/>
          </w:tcPr>
          <w:p w14:paraId="6FE90E1A" w14:textId="2620D08F"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13.4.1:</w:t>
            </w:r>
            <w:r w:rsidRPr="002444A1">
              <w:rPr>
                <w:rFonts w:asciiTheme="minorHAnsi" w:eastAsiaTheme="minorHAnsi" w:hAnsiTheme="minorHAnsi"/>
                <w:spacing w:val="-1"/>
                <w:sz w:val="22"/>
                <w:szCs w:val="20"/>
              </w:rPr>
              <w:t xml:space="preserve"> Are there any particular obligations imposed on ASX trading participants entering into transactions for their clients in mFunds mentioned in section 13.4 of this consultation paper that you view as unnecessary or unduly onerous on those participants? Please explain your view and put forward any suggestions you may have to reduce the burden of these requirements without compromising investor protections.</w:t>
            </w:r>
          </w:p>
        </w:tc>
        <w:tc>
          <w:tcPr>
            <w:tcW w:w="7280" w:type="dxa"/>
          </w:tcPr>
          <w:p w14:paraId="388F38BF"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0DDC994" w14:textId="7B27951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10A3F42D" w14:textId="678B1A17" w:rsidTr="00C113C4">
        <w:trPr>
          <w:cantSplit/>
        </w:trPr>
        <w:tc>
          <w:tcPr>
            <w:tcW w:w="14560" w:type="dxa"/>
            <w:gridSpan w:val="2"/>
            <w:shd w:val="clear" w:color="auto" w:fill="F2F2F2" w:themeFill="background1" w:themeFillShade="F2"/>
          </w:tcPr>
          <w:p w14:paraId="5E74D0B3" w14:textId="41F5F666"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13.5</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mFund profiles</w:t>
            </w:r>
          </w:p>
        </w:tc>
      </w:tr>
      <w:tr w:rsidR="00FF1055" w:rsidRPr="002444A1" w14:paraId="7B1D9A1D" w14:textId="427755E5" w:rsidTr="00410D3C">
        <w:trPr>
          <w:cantSplit/>
        </w:trPr>
        <w:tc>
          <w:tcPr>
            <w:tcW w:w="7280" w:type="dxa"/>
          </w:tcPr>
          <w:p w14:paraId="7CDB10BA" w14:textId="76938236"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13.5.1:</w:t>
            </w:r>
            <w:r w:rsidRPr="002444A1">
              <w:rPr>
                <w:rFonts w:asciiTheme="minorHAnsi" w:eastAsiaTheme="minorHAnsi" w:hAnsiTheme="minorHAnsi"/>
                <w:spacing w:val="-1"/>
                <w:sz w:val="22"/>
                <w:szCs w:val="20"/>
              </w:rPr>
              <w:t xml:space="preserve"> Do you support the AQUA Rules being amended to require an mFund to provide a Fund Profile to ASX and to keep it up to date? If not, why not?</w:t>
            </w:r>
          </w:p>
        </w:tc>
        <w:tc>
          <w:tcPr>
            <w:tcW w:w="7280" w:type="dxa"/>
          </w:tcPr>
          <w:p w14:paraId="78CFC82D"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726F71F" w14:textId="28BD14B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02AF2BF" w14:textId="2CE364A9" w:rsidTr="00410D3C">
        <w:trPr>
          <w:cantSplit/>
        </w:trPr>
        <w:tc>
          <w:tcPr>
            <w:tcW w:w="7280" w:type="dxa"/>
          </w:tcPr>
          <w:p w14:paraId="39AE5621" w14:textId="54E0061B"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13.5.2:</w:t>
            </w:r>
            <w:r w:rsidRPr="002444A1">
              <w:rPr>
                <w:rFonts w:asciiTheme="minorHAnsi" w:eastAsiaTheme="minorHAnsi" w:hAnsiTheme="minorHAnsi"/>
                <w:spacing w:val="-1"/>
                <w:sz w:val="22"/>
                <w:szCs w:val="20"/>
              </w:rPr>
              <w:t xml:space="preserve"> What additional information do you think could be usefully captured in an mFund’s Fund Profile?</w:t>
            </w:r>
          </w:p>
        </w:tc>
        <w:tc>
          <w:tcPr>
            <w:tcW w:w="7280" w:type="dxa"/>
          </w:tcPr>
          <w:p w14:paraId="0DDF9E1F"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A997FBD" w14:textId="02FBB87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7A556226" w14:textId="5DC62F0E" w:rsidTr="00C113C4">
        <w:trPr>
          <w:cantSplit/>
        </w:trPr>
        <w:tc>
          <w:tcPr>
            <w:tcW w:w="14560" w:type="dxa"/>
            <w:gridSpan w:val="2"/>
            <w:shd w:val="clear" w:color="auto" w:fill="F2F2F2" w:themeFill="background1" w:themeFillShade="F2"/>
          </w:tcPr>
          <w:p w14:paraId="17080B2C" w14:textId="2B5307FB"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lastRenderedPageBreak/>
              <w:t>13.6</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Information about an mFund’s NAV</w:t>
            </w:r>
          </w:p>
        </w:tc>
      </w:tr>
      <w:tr w:rsidR="00FF1055" w:rsidRPr="002444A1" w14:paraId="6BF5570E" w14:textId="2AA15DB8" w:rsidTr="00410D3C">
        <w:trPr>
          <w:cantSplit/>
        </w:trPr>
        <w:tc>
          <w:tcPr>
            <w:tcW w:w="7280" w:type="dxa"/>
          </w:tcPr>
          <w:p w14:paraId="38A34E08" w14:textId="4A1DF9D9"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 xml:space="preserve">Question 13.6.1: </w:t>
            </w:r>
            <w:r w:rsidRPr="002444A1">
              <w:rPr>
                <w:rFonts w:asciiTheme="minorHAnsi" w:eastAsiaTheme="minorHAnsi" w:hAnsiTheme="minorHAnsi"/>
                <w:spacing w:val="-1"/>
                <w:sz w:val="22"/>
                <w:szCs w:val="20"/>
              </w:rPr>
              <w:t>Do you see benefit in an STP service for mFunds that would allow them to upload their NAV and the “as at” date at which it was calculated directly onto the mFund information page on the ASX mFund website and are you supportive of the proposed changes to the AQUA Rules to facilitate that service?</w:t>
            </w:r>
          </w:p>
        </w:tc>
        <w:tc>
          <w:tcPr>
            <w:tcW w:w="7280" w:type="dxa"/>
          </w:tcPr>
          <w:p w14:paraId="5E3ACDFB"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B95214E" w14:textId="15A7B79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77FE910B" w14:textId="732B6F6B" w:rsidTr="00C113C4">
        <w:trPr>
          <w:cantSplit/>
        </w:trPr>
        <w:tc>
          <w:tcPr>
            <w:tcW w:w="14560" w:type="dxa"/>
            <w:gridSpan w:val="2"/>
            <w:shd w:val="clear" w:color="auto" w:fill="F2F2F2" w:themeFill="background1" w:themeFillShade="F2"/>
          </w:tcPr>
          <w:p w14:paraId="645E6404" w14:textId="0442E531"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13.7</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Information about an mFund’s issues and redemptions</w:t>
            </w:r>
          </w:p>
        </w:tc>
      </w:tr>
      <w:tr w:rsidR="00FF1055" w:rsidRPr="002444A1" w14:paraId="704E5BFF" w14:textId="142FC8F2" w:rsidTr="00410D3C">
        <w:trPr>
          <w:cantSplit/>
        </w:trPr>
        <w:tc>
          <w:tcPr>
            <w:tcW w:w="7280" w:type="dxa"/>
          </w:tcPr>
          <w:p w14:paraId="7C0F4170" w14:textId="35E6BDB6"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13.7.1:</w:t>
            </w:r>
            <w:r w:rsidRPr="002444A1">
              <w:rPr>
                <w:rFonts w:asciiTheme="minorHAnsi" w:eastAsiaTheme="minorHAnsi" w:hAnsiTheme="minorHAnsi"/>
                <w:spacing w:val="-1"/>
                <w:sz w:val="22"/>
                <w:szCs w:val="20"/>
              </w:rPr>
              <w:t xml:space="preserve"> Do you support the proposed amendments to the AQUA Rules to require an mFund to publish on MAP and on the mFund issuer’s website on a quarterly basis the amount and value of units it has issued or redeemed that quarter? If not, why not?</w:t>
            </w:r>
          </w:p>
        </w:tc>
        <w:tc>
          <w:tcPr>
            <w:tcW w:w="7280" w:type="dxa"/>
          </w:tcPr>
          <w:p w14:paraId="2A208D6A"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83C9714" w14:textId="7B73F23A"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16C2746" w14:textId="177C7F5C" w:rsidTr="00410D3C">
        <w:trPr>
          <w:cantSplit/>
        </w:trPr>
        <w:tc>
          <w:tcPr>
            <w:tcW w:w="7280" w:type="dxa"/>
          </w:tcPr>
          <w:p w14:paraId="092C3EA6" w14:textId="07CCCB8B" w:rsidR="00FF1055" w:rsidRPr="002444A1" w:rsidRDefault="00FF1055" w:rsidP="00ED258B">
            <w:pPr>
              <w:pStyle w:val="ListBullet"/>
              <w:numPr>
                <w:ilvl w:val="0"/>
                <w:numId w:val="0"/>
              </w:numPr>
              <w:spacing w:after="0"/>
            </w:pPr>
            <w:r w:rsidRPr="002444A1">
              <w:rPr>
                <w:b/>
                <w:color w:val="009FDF" w:themeColor="accent2"/>
              </w:rPr>
              <w:t>Question 13.7.2:</w:t>
            </w:r>
            <w:r w:rsidRPr="002444A1">
              <w:t xml:space="preserve"> Do you see benefit in an STP service for mFunds that would allow them to upload their issue and redemption prices and the respective “as at” dates for which they were determined directly onto the mFund information page on the ASX mFund website and are you supportive of the proposed changes to the AQUA Rules to facilitate that service?</w:t>
            </w:r>
          </w:p>
        </w:tc>
        <w:tc>
          <w:tcPr>
            <w:tcW w:w="7280" w:type="dxa"/>
          </w:tcPr>
          <w:p w14:paraId="548248F3"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E2E9C87" w14:textId="46C02618" w:rsidR="00FF1055" w:rsidRPr="002444A1" w:rsidRDefault="00FF1055" w:rsidP="00ED258B">
            <w:pPr>
              <w:pStyle w:val="ListBullet"/>
              <w:numPr>
                <w:ilvl w:val="0"/>
                <w:numId w:val="0"/>
              </w:numPr>
              <w:spacing w:after="0"/>
              <w:rPr>
                <w:b/>
                <w:color w:val="009FDF" w:themeColor="accent2"/>
              </w:rPr>
            </w:pPr>
          </w:p>
        </w:tc>
      </w:tr>
      <w:tr w:rsidR="00C113C4" w:rsidRPr="00C113C4" w14:paraId="7077E739" w14:textId="7D37B20B" w:rsidTr="00C113C4">
        <w:trPr>
          <w:cantSplit/>
        </w:trPr>
        <w:tc>
          <w:tcPr>
            <w:tcW w:w="14560" w:type="dxa"/>
            <w:gridSpan w:val="2"/>
            <w:shd w:val="clear" w:color="auto" w:fill="F2F2F2" w:themeFill="background1" w:themeFillShade="F2"/>
          </w:tcPr>
          <w:p w14:paraId="5CB64961" w14:textId="68D4B8C8"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13.8</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Information about an mFund’s total units on issue</w:t>
            </w:r>
          </w:p>
        </w:tc>
      </w:tr>
      <w:tr w:rsidR="00FF1055" w:rsidRPr="002444A1" w14:paraId="4FC57D95" w14:textId="5829F1F7" w:rsidTr="00410D3C">
        <w:trPr>
          <w:cantSplit/>
        </w:trPr>
        <w:tc>
          <w:tcPr>
            <w:tcW w:w="7280" w:type="dxa"/>
          </w:tcPr>
          <w:p w14:paraId="42EE6C82" w14:textId="6B19ACC4"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13.8.1:</w:t>
            </w:r>
            <w:r w:rsidRPr="002444A1">
              <w:rPr>
                <w:rFonts w:asciiTheme="minorHAnsi" w:eastAsiaTheme="minorHAnsi" w:hAnsiTheme="minorHAnsi"/>
                <w:spacing w:val="-1"/>
                <w:sz w:val="22"/>
                <w:szCs w:val="20"/>
              </w:rPr>
              <w:t xml:space="preserve"> Do you see benefit in an STP service for mFunds that would allow them to upload the total number of units they have on issue directly onto the mFund information page on the ASX mFund website and are you supportive of the proposed changes to the AQUA Rules to facilitate that service?</w:t>
            </w:r>
          </w:p>
        </w:tc>
        <w:tc>
          <w:tcPr>
            <w:tcW w:w="7280" w:type="dxa"/>
          </w:tcPr>
          <w:p w14:paraId="1EF6B715"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C3487DD" w14:textId="19F9CB3E"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653874A6" w14:textId="664D2224" w:rsidTr="00410D3C">
        <w:trPr>
          <w:cantSplit/>
        </w:trPr>
        <w:tc>
          <w:tcPr>
            <w:tcW w:w="7280" w:type="dxa"/>
          </w:tcPr>
          <w:p w14:paraId="666FAC78" w14:textId="4BF10B39"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13.8.2:</w:t>
            </w:r>
            <w:r w:rsidRPr="002444A1">
              <w:rPr>
                <w:rFonts w:asciiTheme="minorHAnsi" w:eastAsiaTheme="minorHAnsi" w:hAnsiTheme="minorHAnsi"/>
                <w:spacing w:val="-1"/>
                <w:sz w:val="22"/>
                <w:szCs w:val="20"/>
              </w:rPr>
              <w:t xml:space="preserve"> How often do you think an mFund should be obliged to update information about the total number of units it has on issue: quarterly, monthly, weekly or daily?</w:t>
            </w:r>
          </w:p>
        </w:tc>
        <w:tc>
          <w:tcPr>
            <w:tcW w:w="7280" w:type="dxa"/>
          </w:tcPr>
          <w:p w14:paraId="2499F20F"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823BEC2" w14:textId="7E3078DF"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542D8A3" w14:textId="4E59DFBC" w:rsidTr="00C113C4">
        <w:trPr>
          <w:cantSplit/>
        </w:trPr>
        <w:tc>
          <w:tcPr>
            <w:tcW w:w="14560" w:type="dxa"/>
            <w:gridSpan w:val="2"/>
            <w:shd w:val="clear" w:color="auto" w:fill="F2F2F2" w:themeFill="background1" w:themeFillShade="F2"/>
          </w:tcPr>
          <w:p w14:paraId="68E8FF2B" w14:textId="28FE5671"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lastRenderedPageBreak/>
              <w:t>13.9</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Information about an mFund’s distributions</w:t>
            </w:r>
          </w:p>
        </w:tc>
      </w:tr>
      <w:tr w:rsidR="00FF1055" w:rsidRPr="002444A1" w14:paraId="64BDDABF" w14:textId="4D920696" w:rsidTr="00410D3C">
        <w:trPr>
          <w:cantSplit/>
        </w:trPr>
        <w:tc>
          <w:tcPr>
            <w:tcW w:w="7280" w:type="dxa"/>
          </w:tcPr>
          <w:p w14:paraId="307DCA12" w14:textId="4C5C33A7"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13.9.1:</w:t>
            </w:r>
            <w:r w:rsidRPr="002444A1">
              <w:rPr>
                <w:rFonts w:asciiTheme="minorHAnsi" w:eastAsiaTheme="minorHAnsi" w:hAnsiTheme="minorHAnsi"/>
                <w:spacing w:val="-1"/>
                <w:sz w:val="22"/>
                <w:szCs w:val="20"/>
              </w:rPr>
              <w:t xml:space="preserve"> Do you see benefit in an STP service for mFunds that would allow them to use a smart online form to provide and publish on MAP more comprehensive information about their dividends and distributions and are you supportive of the proposed changes to the AQUA Rules to facilitate that service?</w:t>
            </w:r>
          </w:p>
        </w:tc>
        <w:tc>
          <w:tcPr>
            <w:tcW w:w="7280" w:type="dxa"/>
          </w:tcPr>
          <w:p w14:paraId="52346D5B"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6138CE5" w14:textId="0653A6D8"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0B40F4AF" w14:textId="67111650" w:rsidTr="00C113C4">
        <w:trPr>
          <w:cantSplit/>
        </w:trPr>
        <w:tc>
          <w:tcPr>
            <w:tcW w:w="14560" w:type="dxa"/>
            <w:gridSpan w:val="2"/>
            <w:shd w:val="clear" w:color="auto" w:fill="F2F2F2" w:themeFill="background1" w:themeFillShade="F2"/>
          </w:tcPr>
          <w:p w14:paraId="1591F546" w14:textId="5C0BCCF8"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13.10</w:t>
            </w:r>
            <w:r w:rsidRPr="00C113C4">
              <w:rPr>
                <w:rFonts w:asciiTheme="majorHAnsi" w:hAnsiTheme="majorHAnsi" w:cs="Arial"/>
                <w:b/>
                <w:bCs/>
                <w:color w:val="0070C0"/>
                <w:sz w:val="24"/>
                <w:szCs w:val="24"/>
              </w:rPr>
              <w:tab/>
            </w:r>
            <w:r w:rsidR="00042554">
              <w:rPr>
                <w:rFonts w:asciiTheme="majorHAnsi" w:hAnsiTheme="majorHAnsi" w:cs="Arial"/>
                <w:b/>
                <w:bCs/>
                <w:color w:val="0070C0"/>
                <w:sz w:val="24"/>
                <w:szCs w:val="24"/>
              </w:rPr>
              <w:t xml:space="preserve"> </w:t>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DDO information</w:t>
            </w:r>
          </w:p>
        </w:tc>
      </w:tr>
      <w:tr w:rsidR="00FF1055" w:rsidRPr="002444A1" w14:paraId="16508837" w14:textId="1B7B3BB9" w:rsidTr="00410D3C">
        <w:trPr>
          <w:cantSplit/>
        </w:trPr>
        <w:tc>
          <w:tcPr>
            <w:tcW w:w="7280" w:type="dxa"/>
          </w:tcPr>
          <w:p w14:paraId="55F7965E" w14:textId="1157387C"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13.10.1:</w:t>
            </w:r>
            <w:r w:rsidRPr="002444A1">
              <w:rPr>
                <w:rFonts w:asciiTheme="minorHAnsi" w:eastAsiaTheme="minorHAnsi" w:hAnsiTheme="minorHAnsi"/>
                <w:b/>
                <w:spacing w:val="-1"/>
                <w:sz w:val="22"/>
                <w:szCs w:val="20"/>
              </w:rPr>
              <w:t xml:space="preserve"> </w:t>
            </w:r>
            <w:r w:rsidRPr="002444A1">
              <w:rPr>
                <w:rFonts w:asciiTheme="minorHAnsi" w:eastAsiaTheme="minorHAnsi" w:hAnsiTheme="minorHAnsi"/>
                <w:spacing w:val="-1"/>
                <w:sz w:val="22"/>
                <w:szCs w:val="20"/>
              </w:rPr>
              <w:t>Are there any additional documents or information that could be published on the ASX mFund website that may assist mFunds in complying with their DDO? For example, would it be helpful to mFunds if their Target Market Determination could be published on that website? Should there be a rule making this mandatory?</w:t>
            </w:r>
          </w:p>
        </w:tc>
        <w:tc>
          <w:tcPr>
            <w:tcW w:w="7280" w:type="dxa"/>
          </w:tcPr>
          <w:p w14:paraId="41131568"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1AEF202" w14:textId="0F1F5BD8"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01367741" w14:textId="0F8733B6" w:rsidTr="00C113C4">
        <w:trPr>
          <w:cantSplit/>
        </w:trPr>
        <w:tc>
          <w:tcPr>
            <w:tcW w:w="14560" w:type="dxa"/>
            <w:gridSpan w:val="2"/>
            <w:shd w:val="clear" w:color="auto" w:fill="F2F2F2" w:themeFill="background1" w:themeFillShade="F2"/>
          </w:tcPr>
          <w:p w14:paraId="50D77FB1" w14:textId="32871BFF"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13.11</w:t>
            </w:r>
            <w:r w:rsidRPr="00C113C4">
              <w:rPr>
                <w:rFonts w:asciiTheme="majorHAnsi" w:hAnsiTheme="majorHAnsi" w:cs="Arial"/>
                <w:b/>
                <w:bCs/>
                <w:color w:val="0070C0"/>
                <w:sz w:val="24"/>
                <w:szCs w:val="24"/>
              </w:rPr>
              <w:tab/>
            </w:r>
            <w:r w:rsidR="00042554">
              <w:rPr>
                <w:rFonts w:asciiTheme="majorHAnsi" w:hAnsiTheme="majorHAnsi" w:cs="Arial"/>
                <w:b/>
                <w:bCs/>
                <w:color w:val="0070C0"/>
                <w:sz w:val="24"/>
                <w:szCs w:val="24"/>
              </w:rPr>
              <w:t xml:space="preserve"> </w:t>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Collection of additional investor information</w:t>
            </w:r>
          </w:p>
        </w:tc>
      </w:tr>
      <w:tr w:rsidR="00FF1055" w:rsidRPr="002444A1" w14:paraId="3A455866" w14:textId="764A9A71" w:rsidTr="00410D3C">
        <w:trPr>
          <w:cantSplit/>
        </w:trPr>
        <w:tc>
          <w:tcPr>
            <w:tcW w:w="7280" w:type="dxa"/>
          </w:tcPr>
          <w:p w14:paraId="2189B083" w14:textId="1EC9509B"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13.11.1:</w:t>
            </w:r>
            <w:r w:rsidRPr="002444A1">
              <w:rPr>
                <w:rFonts w:asciiTheme="minorHAnsi" w:eastAsiaTheme="minorHAnsi" w:hAnsiTheme="minorHAnsi"/>
                <w:spacing w:val="-1"/>
                <w:sz w:val="22"/>
                <w:szCs w:val="20"/>
              </w:rPr>
              <w:t xml:space="preserve"> Are there any additional data points about investors that could usefully be captured through the mFund Settlement Service that would help mFunds to better perform their back office processes? If so, what are those data points and how do they assist mFunds in performing their back office processes?</w:t>
            </w:r>
          </w:p>
        </w:tc>
        <w:tc>
          <w:tcPr>
            <w:tcW w:w="7280" w:type="dxa"/>
          </w:tcPr>
          <w:p w14:paraId="5FF74BEE"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713C588" w14:textId="2BD9DCC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3B944820" w14:textId="3C8DBC36" w:rsidTr="00C113C4">
        <w:trPr>
          <w:cantSplit/>
        </w:trPr>
        <w:tc>
          <w:tcPr>
            <w:tcW w:w="14560" w:type="dxa"/>
            <w:gridSpan w:val="2"/>
            <w:shd w:val="clear" w:color="auto" w:fill="F2F2F2" w:themeFill="background1" w:themeFillShade="F2"/>
          </w:tcPr>
          <w:p w14:paraId="247A3A3C" w14:textId="798C953C" w:rsidR="00824728" w:rsidRPr="00C113C4" w:rsidRDefault="00824728" w:rsidP="00042554">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13.12</w:t>
            </w:r>
            <w:r w:rsidR="00042554">
              <w:rPr>
                <w:rFonts w:asciiTheme="majorHAnsi" w:hAnsiTheme="majorHAnsi" w:cs="Arial"/>
                <w:b/>
                <w:bCs/>
                <w:color w:val="0070C0"/>
                <w:sz w:val="24"/>
                <w:szCs w:val="24"/>
              </w:rPr>
              <w:t xml:space="preserve"> </w:t>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Transfers of units in mFunds</w:t>
            </w:r>
          </w:p>
        </w:tc>
      </w:tr>
      <w:tr w:rsidR="00FF1055" w:rsidRPr="002444A1" w14:paraId="058377F6" w14:textId="0018E8BE" w:rsidTr="00410D3C">
        <w:trPr>
          <w:cantSplit/>
        </w:trPr>
        <w:tc>
          <w:tcPr>
            <w:tcW w:w="7280" w:type="dxa"/>
          </w:tcPr>
          <w:p w14:paraId="429FBF87" w14:textId="2768D21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13.12.1:</w:t>
            </w:r>
            <w:r w:rsidRPr="002444A1">
              <w:rPr>
                <w:rFonts w:asciiTheme="minorHAnsi" w:eastAsiaTheme="minorHAnsi" w:hAnsiTheme="minorHAnsi"/>
                <w:spacing w:val="-1"/>
                <w:sz w:val="22"/>
                <w:szCs w:val="20"/>
              </w:rPr>
              <w:t xml:space="preserve"> Do you see benefit in the replacement CHESS settlement system having the functionality to process transfers of mFund units? How much use do you think this functionality would receive in practice?</w:t>
            </w:r>
          </w:p>
        </w:tc>
        <w:tc>
          <w:tcPr>
            <w:tcW w:w="7280" w:type="dxa"/>
          </w:tcPr>
          <w:p w14:paraId="07854713"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6A56570" w14:textId="3E4566CB"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0373F137" w14:textId="22315E2B" w:rsidTr="00C113C4">
        <w:trPr>
          <w:cantSplit/>
        </w:trPr>
        <w:tc>
          <w:tcPr>
            <w:tcW w:w="14560" w:type="dxa"/>
            <w:gridSpan w:val="2"/>
            <w:shd w:val="clear" w:color="auto" w:fill="F2F2F2" w:themeFill="background1" w:themeFillShade="F2"/>
          </w:tcPr>
          <w:p w14:paraId="5AF66EFC" w14:textId="58DD2387"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lastRenderedPageBreak/>
              <w:t>13.13</w:t>
            </w:r>
            <w:r w:rsidRPr="00C113C4">
              <w:rPr>
                <w:rFonts w:asciiTheme="majorHAnsi" w:hAnsiTheme="majorHAnsi" w:cs="Arial"/>
                <w:b/>
                <w:bCs/>
                <w:color w:val="0070C0"/>
                <w:sz w:val="24"/>
                <w:szCs w:val="24"/>
              </w:rPr>
              <w:tab/>
            </w:r>
            <w:r w:rsidR="00042554">
              <w:rPr>
                <w:rFonts w:asciiTheme="majorHAnsi" w:hAnsiTheme="majorHAnsi" w:cs="Arial"/>
                <w:b/>
                <w:bCs/>
                <w:color w:val="0070C0"/>
                <w:sz w:val="24"/>
                <w:szCs w:val="24"/>
              </w:rPr>
              <w:t xml:space="preserve"> </w:t>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 wholesale mFund service?</w:t>
            </w:r>
          </w:p>
        </w:tc>
      </w:tr>
      <w:tr w:rsidR="00FF1055" w:rsidRPr="002444A1" w14:paraId="29C5F394" w14:textId="3B0CB1CF" w:rsidTr="00410D3C">
        <w:trPr>
          <w:cantSplit/>
        </w:trPr>
        <w:tc>
          <w:tcPr>
            <w:tcW w:w="7280" w:type="dxa"/>
          </w:tcPr>
          <w:p w14:paraId="11F97338" w14:textId="2235168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13.13.1:</w:t>
            </w:r>
            <w:r w:rsidRPr="002444A1">
              <w:rPr>
                <w:rFonts w:asciiTheme="minorHAnsi" w:eastAsiaTheme="minorHAnsi" w:hAnsiTheme="minorHAnsi"/>
                <w:spacing w:val="-1"/>
                <w:sz w:val="22"/>
                <w:szCs w:val="20"/>
              </w:rPr>
              <w:t xml:space="preserve"> Do you see benefit in ASX developing a parallel settlement service to the mFund Settlement service designed specifically for wholesale investors? If so, what features do you think that parallel service should have to attract Unlisted Managed Funds and wholesale investors to the service?</w:t>
            </w:r>
          </w:p>
        </w:tc>
        <w:tc>
          <w:tcPr>
            <w:tcW w:w="7280" w:type="dxa"/>
          </w:tcPr>
          <w:p w14:paraId="11F6E09A"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10E1A21" w14:textId="379CB5CA"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62901D78" w14:textId="450D4C37" w:rsidTr="00C113C4">
        <w:trPr>
          <w:cantSplit/>
        </w:trPr>
        <w:tc>
          <w:tcPr>
            <w:tcW w:w="14560" w:type="dxa"/>
            <w:gridSpan w:val="2"/>
            <w:shd w:val="clear" w:color="auto" w:fill="F2F2F2" w:themeFill="background1" w:themeFillShade="F2"/>
          </w:tcPr>
          <w:p w14:paraId="2A31A6EF" w14:textId="59C0C935"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13.14</w:t>
            </w:r>
            <w:r w:rsidRPr="00C113C4">
              <w:rPr>
                <w:rFonts w:asciiTheme="majorHAnsi" w:hAnsiTheme="majorHAnsi" w:cs="Arial"/>
                <w:b/>
                <w:bCs/>
                <w:color w:val="0070C0"/>
                <w:sz w:val="24"/>
                <w:szCs w:val="24"/>
              </w:rPr>
              <w:tab/>
              <w:t xml:space="preserve"> </w:t>
            </w:r>
            <w:r w:rsidR="00042554" w:rsidRPr="00042554">
              <w:rPr>
                <w:rFonts w:asciiTheme="majorHAnsi" w:hAnsiTheme="majorHAnsi" w:cs="Arial"/>
                <w:b/>
                <w:bCs/>
                <w:color w:val="0070C0"/>
                <w:sz w:val="24"/>
                <w:szCs w:val="24"/>
              </w:rPr>
              <w:t>The mFund Settlement Service</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Extending mFund to a broader class of financial products</w:t>
            </w:r>
            <w:r w:rsidRPr="00C113C4">
              <w:rPr>
                <w:color w:val="0070C0"/>
              </w:rPr>
              <w:t>?</w:t>
            </w:r>
          </w:p>
        </w:tc>
      </w:tr>
      <w:tr w:rsidR="00FF1055" w:rsidRPr="002444A1" w14:paraId="76CEBF5A" w14:textId="4DDDE734" w:rsidTr="00410D3C">
        <w:trPr>
          <w:cantSplit/>
        </w:trPr>
        <w:tc>
          <w:tcPr>
            <w:tcW w:w="7280" w:type="dxa"/>
          </w:tcPr>
          <w:p w14:paraId="4DC76DDE" w14:textId="73705B37"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13.14.1:</w:t>
            </w:r>
            <w:r w:rsidRPr="002444A1">
              <w:rPr>
                <w:rFonts w:asciiTheme="minorHAnsi" w:eastAsiaTheme="minorHAnsi" w:hAnsiTheme="minorHAnsi"/>
                <w:spacing w:val="-1"/>
                <w:sz w:val="22"/>
                <w:szCs w:val="20"/>
              </w:rPr>
              <w:t xml:space="preserve"> Do you see benefit in ASX developing an mFund-style settlement service for other financial products that are traditionally provided on an OTC basis? What products do you think might usefully benefit from such a service? What features do you think that service should have to attract both product issuers and investors to the service?</w:t>
            </w:r>
          </w:p>
        </w:tc>
        <w:tc>
          <w:tcPr>
            <w:tcW w:w="7280" w:type="dxa"/>
          </w:tcPr>
          <w:p w14:paraId="711D920E"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4FBA190" w14:textId="3DE40EEE"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4DBE559D" w14:textId="5471EBD3" w:rsidTr="00C113C4">
        <w:trPr>
          <w:cantSplit/>
        </w:trPr>
        <w:tc>
          <w:tcPr>
            <w:tcW w:w="14560" w:type="dxa"/>
            <w:gridSpan w:val="2"/>
            <w:shd w:val="clear" w:color="auto" w:fill="F2F2F2" w:themeFill="background1" w:themeFillShade="F2"/>
          </w:tcPr>
          <w:p w14:paraId="3170E7AD" w14:textId="31E4BF27" w:rsidR="00824728" w:rsidRPr="00042554" w:rsidRDefault="00824728" w:rsidP="00ED258B">
            <w:pPr>
              <w:pStyle w:val="ListBullet"/>
              <w:keepNext/>
              <w:spacing w:after="0"/>
              <w:ind w:left="0"/>
              <w:rPr>
                <w:rFonts w:asciiTheme="majorHAnsi" w:hAnsiTheme="majorHAnsi" w:cs="Arial"/>
                <w:b/>
                <w:bCs/>
                <w:color w:val="0070C0"/>
                <w:sz w:val="24"/>
                <w:szCs w:val="24"/>
              </w:rPr>
            </w:pPr>
            <w:r w:rsidRPr="00C113C4">
              <w:rPr>
                <w:rFonts w:asciiTheme="majorHAnsi" w:hAnsiTheme="majorHAnsi" w:cs="Arial"/>
                <w:b/>
                <w:bCs/>
                <w:color w:val="0070C0"/>
                <w:sz w:val="24"/>
                <w:szCs w:val="24"/>
              </w:rPr>
              <w:t>14.2</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Better information for investors about Investment Products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Information to be captured on Collective Investment Products</w:t>
            </w:r>
          </w:p>
        </w:tc>
      </w:tr>
      <w:tr w:rsidR="00FF1055" w:rsidRPr="002444A1" w14:paraId="30797B3E" w14:textId="42F98CDC" w:rsidTr="00410D3C">
        <w:trPr>
          <w:cantSplit/>
        </w:trPr>
        <w:tc>
          <w:tcPr>
            <w:tcW w:w="7280" w:type="dxa"/>
          </w:tcPr>
          <w:p w14:paraId="40F5CAFF" w14:textId="4ADE803C"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14.2.1:</w:t>
            </w:r>
            <w:r w:rsidRPr="002444A1">
              <w:rPr>
                <w:rFonts w:asciiTheme="minorHAnsi" w:eastAsiaTheme="minorHAnsi" w:hAnsiTheme="minorHAnsi"/>
                <w:spacing w:val="-1"/>
                <w:sz w:val="22"/>
                <w:szCs w:val="20"/>
              </w:rPr>
              <w:t xml:space="preserve"> Do you support there being an information page on the ASX website for the Collective Investment Products traded on ASX and the Listing Rules and AQUA Rules being amended to facilitate the capture of the information needed to populate that page?</w:t>
            </w:r>
          </w:p>
        </w:tc>
        <w:tc>
          <w:tcPr>
            <w:tcW w:w="7280" w:type="dxa"/>
          </w:tcPr>
          <w:p w14:paraId="0FA097D2"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A9DA644" w14:textId="1EDFED55"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FE7E5DF" w14:textId="0D007073" w:rsidTr="00410D3C">
        <w:trPr>
          <w:cantSplit/>
        </w:trPr>
        <w:tc>
          <w:tcPr>
            <w:tcW w:w="7280" w:type="dxa"/>
          </w:tcPr>
          <w:p w14:paraId="3F79D4DD" w14:textId="1C47E1ED"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14.2.2:</w:t>
            </w:r>
            <w:r w:rsidRPr="002444A1">
              <w:rPr>
                <w:rFonts w:asciiTheme="minorHAnsi" w:eastAsiaTheme="minorHAnsi" w:hAnsiTheme="minorHAnsi"/>
                <w:spacing w:val="-1"/>
                <w:sz w:val="22"/>
                <w:szCs w:val="20"/>
              </w:rPr>
              <w:t xml:space="preserve"> How often do you think an ETF, ETMF, or ETSP that takes the form of a Collective Investment Product should be obliged to update information about the total number of shares/units it has on issue: quarterly, monthly, weekly or daily?</w:t>
            </w:r>
          </w:p>
        </w:tc>
        <w:tc>
          <w:tcPr>
            <w:tcW w:w="7280" w:type="dxa"/>
          </w:tcPr>
          <w:p w14:paraId="6FC8D7B9"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4E69510" w14:textId="7B43B6CD"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44C487A" w14:textId="7CF163DF" w:rsidTr="00410D3C">
        <w:trPr>
          <w:cantSplit/>
        </w:trPr>
        <w:tc>
          <w:tcPr>
            <w:tcW w:w="7280" w:type="dxa"/>
          </w:tcPr>
          <w:p w14:paraId="3E6A6FB5" w14:textId="7FFCFBBC"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14.2.3:</w:t>
            </w:r>
            <w:r w:rsidRPr="002444A1">
              <w:rPr>
                <w:rFonts w:asciiTheme="minorHAnsi" w:eastAsiaTheme="minorHAnsi" w:hAnsiTheme="minorHAnsi"/>
                <w:b/>
                <w:spacing w:val="-1"/>
                <w:sz w:val="22"/>
                <w:szCs w:val="20"/>
              </w:rPr>
              <w:t xml:space="preserve"> </w:t>
            </w:r>
            <w:r w:rsidRPr="002444A1">
              <w:rPr>
                <w:rFonts w:asciiTheme="minorHAnsi" w:eastAsiaTheme="minorHAnsi" w:hAnsiTheme="minorHAnsi"/>
                <w:spacing w:val="-1"/>
                <w:sz w:val="22"/>
                <w:szCs w:val="20"/>
              </w:rPr>
              <w:t>Are there any additional documents or information that could be published on the proposed information page on the ASX website for the Collective Investment Products traded on ASX that may assist issuers in complying with their DDO. For example, would it be helpful to issuers if their Target Market Determination could be published on that website? Should there be a rule making this mandatory?</w:t>
            </w:r>
          </w:p>
        </w:tc>
        <w:tc>
          <w:tcPr>
            <w:tcW w:w="7280" w:type="dxa"/>
          </w:tcPr>
          <w:p w14:paraId="63A6DA5E"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39152C7" w14:textId="75269173"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0690283C" w14:textId="0921845F" w:rsidTr="00C113C4">
        <w:trPr>
          <w:cantSplit/>
        </w:trPr>
        <w:tc>
          <w:tcPr>
            <w:tcW w:w="14560" w:type="dxa"/>
            <w:gridSpan w:val="2"/>
            <w:shd w:val="clear" w:color="auto" w:fill="F2F2F2" w:themeFill="background1" w:themeFillShade="F2"/>
          </w:tcPr>
          <w:p w14:paraId="65DFEF73" w14:textId="371CD440"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lastRenderedPageBreak/>
              <w:t>14.3</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Better information for investors about Investment Products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Information to be captured on Derivative Investment Products</w:t>
            </w:r>
          </w:p>
        </w:tc>
      </w:tr>
      <w:tr w:rsidR="00FF1055" w:rsidRPr="002444A1" w14:paraId="17E1B980" w14:textId="5AF1FECB" w:rsidTr="00410D3C">
        <w:trPr>
          <w:cantSplit/>
        </w:trPr>
        <w:tc>
          <w:tcPr>
            <w:tcW w:w="7280" w:type="dxa"/>
          </w:tcPr>
          <w:p w14:paraId="63643F6A" w14:textId="3EEF502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14.3.1:</w:t>
            </w:r>
            <w:r w:rsidRPr="002444A1">
              <w:rPr>
                <w:rFonts w:asciiTheme="minorHAnsi" w:eastAsiaTheme="minorHAnsi" w:hAnsiTheme="minorHAnsi"/>
                <w:spacing w:val="-1"/>
                <w:sz w:val="22"/>
                <w:szCs w:val="20"/>
              </w:rPr>
              <w:t xml:space="preserve"> Do you support there being an information page on the ASX website for the Derivative Investment Products traded on ASX and the AQUA Rules and the Warrant Rules being amended to facilitate the capture of the information needed to populate that page?</w:t>
            </w:r>
          </w:p>
        </w:tc>
        <w:tc>
          <w:tcPr>
            <w:tcW w:w="7280" w:type="dxa"/>
          </w:tcPr>
          <w:p w14:paraId="4D7EEA34"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0C8A0CB" w14:textId="1C5D973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1F04BA99" w14:textId="7BCD4690" w:rsidTr="00C113C4">
        <w:trPr>
          <w:cantSplit/>
        </w:trPr>
        <w:tc>
          <w:tcPr>
            <w:tcW w:w="14560" w:type="dxa"/>
            <w:gridSpan w:val="2"/>
            <w:shd w:val="clear" w:color="auto" w:fill="F2F2F2" w:themeFill="background1" w:themeFillShade="F2"/>
          </w:tcPr>
          <w:p w14:paraId="0D18F2B5" w14:textId="7D403231"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14.4</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Better information for investors about Investment Products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Information about AQUA Product issues and redemptions</w:t>
            </w:r>
          </w:p>
        </w:tc>
      </w:tr>
      <w:tr w:rsidR="00FF1055" w:rsidRPr="002444A1" w14:paraId="5F89D123" w14:textId="1123CEEA" w:rsidTr="00410D3C">
        <w:trPr>
          <w:cantSplit/>
        </w:trPr>
        <w:tc>
          <w:tcPr>
            <w:tcW w:w="7280" w:type="dxa"/>
          </w:tcPr>
          <w:p w14:paraId="1377371B" w14:textId="729C1A7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 xml:space="preserve">Question 14.4.1: </w:t>
            </w:r>
            <w:r w:rsidRPr="002444A1">
              <w:rPr>
                <w:rFonts w:asciiTheme="minorHAnsi" w:eastAsiaTheme="minorHAnsi" w:hAnsiTheme="minorHAnsi"/>
                <w:spacing w:val="-1"/>
                <w:sz w:val="22"/>
                <w:szCs w:val="20"/>
              </w:rPr>
              <w:t>Do you support the AQUA Rules being amended to require ETFs, ETMFs, and ETSPs that take the form of Collective Investment Products to publish on MAP and on the issuer’s website on a quarterly basis the amount and value of units they have issued and redeemed that quarter? If not, why not?</w:t>
            </w:r>
          </w:p>
        </w:tc>
        <w:tc>
          <w:tcPr>
            <w:tcW w:w="7280" w:type="dxa"/>
          </w:tcPr>
          <w:p w14:paraId="491087CB"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5C5B396" w14:textId="280B0020"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52DADDD7" w14:textId="2C874D65" w:rsidTr="00C113C4">
        <w:trPr>
          <w:cantSplit/>
        </w:trPr>
        <w:tc>
          <w:tcPr>
            <w:tcW w:w="14560" w:type="dxa"/>
            <w:gridSpan w:val="2"/>
            <w:shd w:val="clear" w:color="auto" w:fill="F2F2F2" w:themeFill="background1" w:themeFillShade="F2"/>
          </w:tcPr>
          <w:p w14:paraId="5DB0F59B" w14:textId="67AEBD09"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14.5</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Better information for investors about Investment Products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Information about AQUA Product dividends and distributions</w:t>
            </w:r>
          </w:p>
        </w:tc>
      </w:tr>
      <w:tr w:rsidR="00FF1055" w:rsidRPr="002444A1" w14:paraId="34F95AD7" w14:textId="68CB13F2" w:rsidTr="00410D3C">
        <w:trPr>
          <w:cantSplit/>
        </w:trPr>
        <w:tc>
          <w:tcPr>
            <w:tcW w:w="7280" w:type="dxa"/>
          </w:tcPr>
          <w:p w14:paraId="317D74DF" w14:textId="1AF46A99"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14.5.1:</w:t>
            </w:r>
            <w:r w:rsidRPr="002444A1">
              <w:rPr>
                <w:rFonts w:asciiTheme="minorHAnsi" w:eastAsiaTheme="minorHAnsi" w:hAnsiTheme="minorHAnsi"/>
                <w:spacing w:val="-1"/>
                <w:sz w:val="22"/>
                <w:szCs w:val="20"/>
              </w:rPr>
              <w:t xml:space="preserve"> Do you see benefit in an STP service for AQUA Product issuers that would allow them to use a smart online form to provide and publish on MAP more comprehensive information about their dividends and distributions and are you supportive of the proposed changes to the AQUA Rules to facilitate that service?</w:t>
            </w:r>
          </w:p>
        </w:tc>
        <w:tc>
          <w:tcPr>
            <w:tcW w:w="7280" w:type="dxa"/>
          </w:tcPr>
          <w:p w14:paraId="19D8218E"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51C9268C" w14:textId="6D98CC0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7F47787B" w14:textId="2CD89776" w:rsidTr="00C113C4">
        <w:trPr>
          <w:cantSplit/>
        </w:trPr>
        <w:tc>
          <w:tcPr>
            <w:tcW w:w="14560" w:type="dxa"/>
            <w:gridSpan w:val="2"/>
            <w:shd w:val="clear" w:color="auto" w:fill="F2F2F2" w:themeFill="background1" w:themeFillShade="F2"/>
          </w:tcPr>
          <w:p w14:paraId="0C37521A" w14:textId="74ADBDD4"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14.6</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Better information for investors about Investment Products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Collection of additional investor information</w:t>
            </w:r>
          </w:p>
        </w:tc>
      </w:tr>
      <w:tr w:rsidR="00FF1055" w:rsidRPr="002444A1" w14:paraId="59E54CBF" w14:textId="415566D1" w:rsidTr="00410D3C">
        <w:trPr>
          <w:cantSplit/>
        </w:trPr>
        <w:tc>
          <w:tcPr>
            <w:tcW w:w="7280" w:type="dxa"/>
          </w:tcPr>
          <w:p w14:paraId="73E601F0" w14:textId="63CCF8AD"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14.6.1:</w:t>
            </w:r>
            <w:r w:rsidRPr="002444A1">
              <w:rPr>
                <w:rFonts w:asciiTheme="minorHAnsi" w:eastAsiaTheme="minorHAnsi" w:hAnsiTheme="minorHAnsi"/>
                <w:spacing w:val="-1"/>
                <w:sz w:val="22"/>
                <w:szCs w:val="20"/>
              </w:rPr>
              <w:t xml:space="preserve"> Are there any additional data points about investors that could usefully be captured through the CHESS settlement system that would help issuers of Listed Investment Products or AQUA Products to better perform their back office processes? If so, what are those data points and how do they assist issuers in performing their back office processes?</w:t>
            </w:r>
          </w:p>
        </w:tc>
        <w:tc>
          <w:tcPr>
            <w:tcW w:w="7280" w:type="dxa"/>
          </w:tcPr>
          <w:p w14:paraId="55BD2E66"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045642AF" w14:textId="55DE8C67"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34C2526A" w14:textId="7C48F67B" w:rsidTr="00C113C4">
        <w:trPr>
          <w:cantSplit/>
        </w:trPr>
        <w:tc>
          <w:tcPr>
            <w:tcW w:w="14560" w:type="dxa"/>
            <w:gridSpan w:val="2"/>
            <w:shd w:val="clear" w:color="auto" w:fill="F2F2F2" w:themeFill="background1" w:themeFillShade="F2"/>
          </w:tcPr>
          <w:p w14:paraId="1624D4C2" w14:textId="01DF2346" w:rsidR="00824728" w:rsidRPr="00C113C4" w:rsidRDefault="00824728" w:rsidP="00ED258B">
            <w:pPr>
              <w:pStyle w:val="ListBullet"/>
              <w:keepNext/>
              <w:spacing w:after="0"/>
              <w:ind w:left="0"/>
              <w:rPr>
                <w:rFonts w:asciiTheme="majorHAnsi" w:hAnsiTheme="majorHAnsi" w:cs="Arial"/>
                <w:b/>
                <w:bCs/>
                <w:color w:val="0070C0"/>
                <w:sz w:val="28"/>
                <w:szCs w:val="28"/>
              </w:rPr>
            </w:pPr>
            <w:r w:rsidRPr="00C113C4">
              <w:rPr>
                <w:rFonts w:asciiTheme="majorHAnsi" w:hAnsiTheme="majorHAnsi" w:cs="Arial"/>
                <w:b/>
                <w:bCs/>
                <w:color w:val="0070C0"/>
                <w:sz w:val="24"/>
                <w:szCs w:val="24"/>
              </w:rPr>
              <w:t>15.2</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Miscellaneous issues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The AQUA Quote Display Board</w:t>
            </w:r>
          </w:p>
        </w:tc>
      </w:tr>
      <w:tr w:rsidR="00FF1055" w:rsidRPr="002444A1" w14:paraId="0DDF392B" w14:textId="625C7953" w:rsidTr="00410D3C">
        <w:trPr>
          <w:cantSplit/>
        </w:trPr>
        <w:tc>
          <w:tcPr>
            <w:tcW w:w="7280" w:type="dxa"/>
          </w:tcPr>
          <w:p w14:paraId="6E7EB47E" w14:textId="74D776D1"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15.2.1:</w:t>
            </w:r>
            <w:r w:rsidRPr="002444A1">
              <w:rPr>
                <w:rFonts w:asciiTheme="minorHAnsi" w:eastAsiaTheme="minorHAnsi" w:hAnsiTheme="minorHAnsi"/>
                <w:spacing w:val="-1"/>
                <w:sz w:val="22"/>
                <w:szCs w:val="20"/>
              </w:rPr>
              <w:t xml:space="preserve"> Were you aware of the existence of the QDB?</w:t>
            </w:r>
          </w:p>
        </w:tc>
        <w:tc>
          <w:tcPr>
            <w:tcW w:w="7280" w:type="dxa"/>
          </w:tcPr>
          <w:p w14:paraId="19B536F0"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0A73ED8" w14:textId="31E783BA"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7F4954DB" w14:textId="7B22A833" w:rsidTr="00410D3C">
        <w:trPr>
          <w:cantSplit/>
        </w:trPr>
        <w:tc>
          <w:tcPr>
            <w:tcW w:w="7280" w:type="dxa"/>
          </w:tcPr>
          <w:p w14:paraId="47A0CF9B" w14:textId="790330AF"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lastRenderedPageBreak/>
              <w:t>Question 15.2.2:</w:t>
            </w:r>
            <w:r w:rsidRPr="002444A1">
              <w:rPr>
                <w:rFonts w:asciiTheme="minorHAnsi" w:eastAsiaTheme="minorHAnsi" w:hAnsiTheme="minorHAnsi"/>
                <w:spacing w:val="-1"/>
                <w:sz w:val="22"/>
                <w:szCs w:val="20"/>
              </w:rPr>
              <w:t xml:space="preserve"> Do you consider that the QDB serves any useful purpose in relation to AQUA Products? Should ASX retain the current QDB service for AQUA Products or scrap it?</w:t>
            </w:r>
          </w:p>
        </w:tc>
        <w:tc>
          <w:tcPr>
            <w:tcW w:w="7280" w:type="dxa"/>
          </w:tcPr>
          <w:p w14:paraId="45E04B7F"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B9BB485" w14:textId="703BEC2C"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079429C8" w14:textId="1F69463C" w:rsidTr="00410D3C">
        <w:trPr>
          <w:cantSplit/>
        </w:trPr>
        <w:tc>
          <w:tcPr>
            <w:tcW w:w="7280" w:type="dxa"/>
          </w:tcPr>
          <w:p w14:paraId="3B4956CF" w14:textId="6568A8F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15.2.3:</w:t>
            </w:r>
            <w:r w:rsidRPr="002444A1">
              <w:rPr>
                <w:rFonts w:asciiTheme="minorHAnsi" w:eastAsiaTheme="minorHAnsi" w:hAnsiTheme="minorHAnsi"/>
                <w:spacing w:val="-1"/>
                <w:sz w:val="22"/>
                <w:szCs w:val="20"/>
              </w:rPr>
              <w:t xml:space="preserve"> Are there any improvements that ASX could make to the QDB that might make it more likely to be used by AQUA Product issuers?</w:t>
            </w:r>
          </w:p>
        </w:tc>
        <w:tc>
          <w:tcPr>
            <w:tcW w:w="7280" w:type="dxa"/>
          </w:tcPr>
          <w:p w14:paraId="1546955A"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24B81F46" w14:textId="59CC7F90"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39C80D24" w14:textId="4694921A" w:rsidTr="00410D3C">
        <w:trPr>
          <w:cantSplit/>
        </w:trPr>
        <w:tc>
          <w:tcPr>
            <w:tcW w:w="7280" w:type="dxa"/>
          </w:tcPr>
          <w:p w14:paraId="5A138451" w14:textId="649B3477" w:rsidR="00FF1055" w:rsidRPr="002444A1" w:rsidRDefault="00FF1055" w:rsidP="00ED258B">
            <w:pPr>
              <w:pStyle w:val="ListBullet"/>
              <w:numPr>
                <w:ilvl w:val="0"/>
                <w:numId w:val="0"/>
              </w:numPr>
              <w:spacing w:after="0"/>
            </w:pPr>
            <w:r w:rsidRPr="002444A1">
              <w:rPr>
                <w:b/>
                <w:color w:val="009FDF" w:themeColor="accent2"/>
              </w:rPr>
              <w:t>Question  15.2.4:</w:t>
            </w:r>
            <w:r w:rsidRPr="002444A1">
              <w:t xml:space="preserve"> If the QDB could be extended to other financial products apart from AQUA Products and the capacity to quote prices could be made available to all participants and not just participants representing AQUA Product issuers, would the QDB be a service of interest to you? How might you see yourself using that service?</w:t>
            </w:r>
          </w:p>
        </w:tc>
        <w:tc>
          <w:tcPr>
            <w:tcW w:w="7280" w:type="dxa"/>
          </w:tcPr>
          <w:p w14:paraId="09C40F8A"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4CB5C8D6" w14:textId="70E484B5" w:rsidR="00FF1055" w:rsidRPr="002444A1" w:rsidRDefault="00FF1055" w:rsidP="00ED258B">
            <w:pPr>
              <w:pStyle w:val="ListBullet"/>
              <w:numPr>
                <w:ilvl w:val="0"/>
                <w:numId w:val="0"/>
              </w:numPr>
              <w:spacing w:after="0"/>
              <w:rPr>
                <w:b/>
                <w:color w:val="009FDF" w:themeColor="accent2"/>
              </w:rPr>
            </w:pPr>
          </w:p>
        </w:tc>
      </w:tr>
      <w:tr w:rsidR="00C113C4" w:rsidRPr="00C113C4" w14:paraId="64FE0E97" w14:textId="74E687F7" w:rsidTr="00C113C4">
        <w:trPr>
          <w:cantSplit/>
        </w:trPr>
        <w:tc>
          <w:tcPr>
            <w:tcW w:w="14560" w:type="dxa"/>
            <w:gridSpan w:val="2"/>
            <w:shd w:val="clear" w:color="auto" w:fill="F2F2F2" w:themeFill="background1" w:themeFillShade="F2"/>
          </w:tcPr>
          <w:p w14:paraId="4AFB00D9" w14:textId="0BE61383"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t>15.3</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Miscellaneous issues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Admission application forms and processes</w:t>
            </w:r>
          </w:p>
        </w:tc>
      </w:tr>
      <w:tr w:rsidR="00FF1055" w:rsidRPr="002444A1" w14:paraId="0ADB987C" w14:textId="1A5C50E3" w:rsidTr="00410D3C">
        <w:trPr>
          <w:cantSplit/>
        </w:trPr>
        <w:tc>
          <w:tcPr>
            <w:tcW w:w="7280" w:type="dxa"/>
          </w:tcPr>
          <w:p w14:paraId="01829D5D" w14:textId="28B7B0F3"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15.3.1:</w:t>
            </w:r>
            <w:r w:rsidRPr="002444A1">
              <w:rPr>
                <w:rFonts w:asciiTheme="minorHAnsi" w:eastAsiaTheme="minorHAnsi" w:hAnsiTheme="minorHAnsi"/>
                <w:spacing w:val="-1"/>
                <w:sz w:val="22"/>
                <w:szCs w:val="20"/>
              </w:rPr>
              <w:t xml:space="preserve"> Have you had any recent experience of applying to be admitted to the ASX official list as a LIC, LIT, REIT or IF? If so, do you have any suggestions on how the application forms and processes for the admission of LICs, LITs, REITS and IFs to the official list could be improved?</w:t>
            </w:r>
          </w:p>
        </w:tc>
        <w:tc>
          <w:tcPr>
            <w:tcW w:w="7280" w:type="dxa"/>
          </w:tcPr>
          <w:p w14:paraId="636AC5BA"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297D5F3" w14:textId="12B5CC49"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26DC1CD9" w14:textId="75F7C209" w:rsidTr="00410D3C">
        <w:trPr>
          <w:cantSplit/>
        </w:trPr>
        <w:tc>
          <w:tcPr>
            <w:tcW w:w="7280" w:type="dxa"/>
          </w:tcPr>
          <w:p w14:paraId="25757A28" w14:textId="50C4760E"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15.3.2:</w:t>
            </w:r>
            <w:r w:rsidRPr="002444A1">
              <w:rPr>
                <w:rFonts w:asciiTheme="minorHAnsi" w:eastAsiaTheme="minorHAnsi" w:hAnsiTheme="minorHAnsi"/>
                <w:spacing w:val="-1"/>
                <w:sz w:val="22"/>
                <w:szCs w:val="20"/>
              </w:rPr>
              <w:t xml:space="preserve"> Have you had any recent experience for applying for the quotation of AQUA Products using the upgraded application forms and processes that ASX introduced in 2019? If so, do you have any suggestions on how the upgraded application forms and processes for AQUA Products could be improved?</w:t>
            </w:r>
          </w:p>
        </w:tc>
        <w:tc>
          <w:tcPr>
            <w:tcW w:w="7280" w:type="dxa"/>
          </w:tcPr>
          <w:p w14:paraId="34709362"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3CDBCFA7" w14:textId="4E33CDF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1B354B34" w14:textId="57BA0139" w:rsidTr="00410D3C">
        <w:trPr>
          <w:cantSplit/>
        </w:trPr>
        <w:tc>
          <w:tcPr>
            <w:tcW w:w="7280" w:type="dxa"/>
          </w:tcPr>
          <w:p w14:paraId="654B7786" w14:textId="51EA3CB0"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15.3.3:</w:t>
            </w:r>
            <w:r w:rsidRPr="002444A1">
              <w:rPr>
                <w:rFonts w:asciiTheme="minorHAnsi" w:eastAsiaTheme="minorHAnsi" w:hAnsiTheme="minorHAnsi"/>
                <w:spacing w:val="-1"/>
                <w:sz w:val="22"/>
                <w:szCs w:val="20"/>
              </w:rPr>
              <w:t xml:space="preserve"> Have you had any recent experience of applying for the quotation of Warrants? If so, do you have any suggestions on how the application forms and processes for the admission of Warrants to quotation could be improved?</w:t>
            </w:r>
          </w:p>
        </w:tc>
        <w:tc>
          <w:tcPr>
            <w:tcW w:w="7280" w:type="dxa"/>
          </w:tcPr>
          <w:p w14:paraId="08E4F2B9"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15CDD375" w14:textId="61BF747E"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FF1055" w:rsidRPr="002444A1" w14:paraId="2618B517" w14:textId="1435EAA0" w:rsidTr="00410D3C">
        <w:trPr>
          <w:cantSplit/>
        </w:trPr>
        <w:tc>
          <w:tcPr>
            <w:tcW w:w="7280" w:type="dxa"/>
          </w:tcPr>
          <w:p w14:paraId="6692BAE4" w14:textId="7257AF6A"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15.3.4:</w:t>
            </w:r>
            <w:r w:rsidRPr="002444A1">
              <w:rPr>
                <w:rFonts w:asciiTheme="minorHAnsi" w:eastAsiaTheme="minorHAnsi" w:hAnsiTheme="minorHAnsi"/>
                <w:spacing w:val="-1"/>
                <w:sz w:val="22"/>
                <w:szCs w:val="20"/>
              </w:rPr>
              <w:t xml:space="preserve"> Do you have any other suggestions on systems or process enhancements that ASX could make to assist Warrant issuers with the ongoing maintenance and refreshing of data related to Warrants?</w:t>
            </w:r>
          </w:p>
        </w:tc>
        <w:tc>
          <w:tcPr>
            <w:tcW w:w="7280" w:type="dxa"/>
          </w:tcPr>
          <w:p w14:paraId="17AD4405"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7376BBA9" w14:textId="6CE49176"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r w:rsidR="00C113C4" w:rsidRPr="00C113C4" w14:paraId="0AA007C0" w14:textId="2D0A43CC" w:rsidTr="00C113C4">
        <w:trPr>
          <w:cantSplit/>
        </w:trPr>
        <w:tc>
          <w:tcPr>
            <w:tcW w:w="14560" w:type="dxa"/>
            <w:gridSpan w:val="2"/>
            <w:shd w:val="clear" w:color="auto" w:fill="F2F2F2" w:themeFill="background1" w:themeFillShade="F2"/>
          </w:tcPr>
          <w:p w14:paraId="7DD7B742" w14:textId="4D0E7006" w:rsidR="00824728" w:rsidRPr="00C113C4" w:rsidRDefault="00824728" w:rsidP="00ED258B">
            <w:pPr>
              <w:pStyle w:val="ListBullet"/>
              <w:keepNext/>
              <w:numPr>
                <w:ilvl w:val="0"/>
                <w:numId w:val="0"/>
              </w:numPr>
              <w:spacing w:after="0"/>
              <w:rPr>
                <w:rFonts w:asciiTheme="majorHAnsi" w:hAnsiTheme="majorHAnsi" w:cs="Arial"/>
                <w:b/>
                <w:bCs/>
                <w:color w:val="0070C0"/>
                <w:sz w:val="24"/>
                <w:szCs w:val="24"/>
              </w:rPr>
            </w:pPr>
            <w:r w:rsidRPr="00C113C4">
              <w:rPr>
                <w:rFonts w:asciiTheme="majorHAnsi" w:hAnsiTheme="majorHAnsi" w:cs="Arial"/>
                <w:b/>
                <w:bCs/>
                <w:color w:val="0070C0"/>
                <w:sz w:val="24"/>
                <w:szCs w:val="24"/>
              </w:rPr>
              <w:lastRenderedPageBreak/>
              <w:t>15.4</w:t>
            </w:r>
            <w:r w:rsidRPr="00C113C4">
              <w:rPr>
                <w:rFonts w:asciiTheme="majorHAnsi" w:hAnsiTheme="majorHAnsi" w:cs="Arial"/>
                <w:b/>
                <w:bCs/>
                <w:color w:val="0070C0"/>
                <w:sz w:val="24"/>
                <w:szCs w:val="24"/>
              </w:rPr>
              <w:tab/>
            </w:r>
            <w:r w:rsidR="00042554" w:rsidRPr="00042554">
              <w:rPr>
                <w:rFonts w:asciiTheme="majorHAnsi" w:hAnsiTheme="majorHAnsi" w:cs="Arial"/>
                <w:b/>
                <w:bCs/>
                <w:color w:val="0070C0"/>
                <w:sz w:val="24"/>
                <w:szCs w:val="24"/>
              </w:rPr>
              <w:t>Miscellaneous issues</w:t>
            </w:r>
            <w:r w:rsidR="00042554" w:rsidRPr="00C113C4">
              <w:rPr>
                <w:rFonts w:asciiTheme="majorHAnsi" w:hAnsiTheme="majorHAnsi" w:cs="Arial"/>
                <w:b/>
                <w:bCs/>
                <w:color w:val="0070C0"/>
                <w:sz w:val="24"/>
                <w:szCs w:val="24"/>
              </w:rPr>
              <w:t xml:space="preserve"> </w:t>
            </w:r>
            <w:r w:rsidR="00042554">
              <w:rPr>
                <w:rFonts w:asciiTheme="majorHAnsi" w:hAnsiTheme="majorHAnsi" w:cs="Arial"/>
                <w:b/>
                <w:bCs/>
                <w:color w:val="0070C0"/>
                <w:sz w:val="24"/>
                <w:szCs w:val="24"/>
              </w:rPr>
              <w:t xml:space="preserve">- </w:t>
            </w:r>
            <w:r w:rsidRPr="00C113C4">
              <w:rPr>
                <w:rFonts w:asciiTheme="majorHAnsi" w:hAnsiTheme="majorHAnsi" w:cs="Arial"/>
                <w:b/>
                <w:bCs/>
                <w:color w:val="0070C0"/>
                <w:sz w:val="24"/>
                <w:szCs w:val="24"/>
              </w:rPr>
              <w:t>Any other issues with ASX’s Investment Product rules</w:t>
            </w:r>
          </w:p>
        </w:tc>
      </w:tr>
      <w:tr w:rsidR="00FF1055" w:rsidRPr="002444A1" w14:paraId="54FBAD1D" w14:textId="579E4A1F" w:rsidTr="00410D3C">
        <w:trPr>
          <w:cantSplit/>
        </w:trPr>
        <w:tc>
          <w:tcPr>
            <w:tcW w:w="7280" w:type="dxa"/>
          </w:tcPr>
          <w:p w14:paraId="3855F744" w14:textId="692E158B" w:rsidR="00FF1055" w:rsidRPr="002444A1" w:rsidRDefault="00FF1055" w:rsidP="00ED258B">
            <w:pPr>
              <w:pStyle w:val="Definitionlist"/>
              <w:spacing w:before="0" w:after="0"/>
              <w:ind w:left="0" w:firstLine="0"/>
              <w:rPr>
                <w:rFonts w:asciiTheme="minorHAnsi" w:eastAsiaTheme="minorHAnsi" w:hAnsiTheme="minorHAnsi"/>
                <w:spacing w:val="-1"/>
                <w:sz w:val="22"/>
                <w:szCs w:val="20"/>
              </w:rPr>
            </w:pPr>
            <w:r w:rsidRPr="002444A1">
              <w:rPr>
                <w:rFonts w:asciiTheme="minorHAnsi" w:eastAsiaTheme="minorHAnsi" w:hAnsiTheme="minorHAnsi"/>
                <w:b/>
                <w:color w:val="009FDF" w:themeColor="accent2"/>
                <w:spacing w:val="-1"/>
                <w:sz w:val="22"/>
                <w:szCs w:val="20"/>
              </w:rPr>
              <w:t>Question 15.4.1:</w:t>
            </w:r>
            <w:r w:rsidRPr="002444A1">
              <w:rPr>
                <w:rFonts w:asciiTheme="minorHAnsi" w:eastAsiaTheme="minorHAnsi" w:hAnsiTheme="minorHAnsi"/>
                <w:spacing w:val="-1"/>
                <w:sz w:val="22"/>
                <w:szCs w:val="20"/>
              </w:rPr>
              <w:t xml:space="preserve"> Are there any other issues that you would like to see addressed in any re-write of the Listing Rules applicable to LICs, LITs, REITs and IFs, or the AQUA Rules or Warrant Rules?</w:t>
            </w:r>
          </w:p>
        </w:tc>
        <w:tc>
          <w:tcPr>
            <w:tcW w:w="7280" w:type="dxa"/>
          </w:tcPr>
          <w:p w14:paraId="6202A2A9" w14:textId="77777777" w:rsidR="00410D3C" w:rsidRPr="00E35C89" w:rsidRDefault="00824728" w:rsidP="00410D3C">
            <w:pPr>
              <w:pStyle w:val="Definitionlist"/>
              <w:spacing w:before="0"/>
              <w:ind w:left="0" w:firstLine="0"/>
              <w:rPr>
                <w:rFonts w:asciiTheme="minorHAnsi" w:eastAsiaTheme="minorHAnsi" w:hAnsiTheme="minorHAnsi"/>
                <w:spacing w:val="-1"/>
                <w:sz w:val="22"/>
                <w:szCs w:val="20"/>
              </w:rPr>
            </w:pPr>
            <w:r w:rsidRPr="00E35C89">
              <w:rPr>
                <w:rFonts w:asciiTheme="minorHAnsi" w:eastAsiaTheme="minorHAnsi" w:hAnsiTheme="minorHAnsi"/>
                <w:b/>
                <w:color w:val="009FDF" w:themeColor="accent2"/>
                <w:spacing w:val="-1"/>
                <w:sz w:val="22"/>
                <w:szCs w:val="20"/>
              </w:rPr>
              <w:t>Answer:</w:t>
            </w:r>
            <w:r w:rsidRPr="00FF1055">
              <w:rPr>
                <w:rFonts w:asciiTheme="minorHAnsi" w:eastAsiaTheme="minorHAnsi" w:hAnsiTheme="minorHAnsi"/>
                <w:spacing w:val="-1"/>
                <w:sz w:val="22"/>
                <w:szCs w:val="20"/>
              </w:rPr>
              <w:t xml:space="preserve"> </w:t>
            </w:r>
          </w:p>
          <w:p w14:paraId="6E8E7DDF" w14:textId="09176822" w:rsidR="00FF1055" w:rsidRPr="002444A1" w:rsidRDefault="00FF1055" w:rsidP="00ED258B">
            <w:pPr>
              <w:pStyle w:val="Definitionlist"/>
              <w:spacing w:before="0" w:after="0"/>
              <w:ind w:left="0" w:firstLine="0"/>
              <w:rPr>
                <w:rFonts w:asciiTheme="minorHAnsi" w:eastAsiaTheme="minorHAnsi" w:hAnsiTheme="minorHAnsi"/>
                <w:b/>
                <w:color w:val="009FDF" w:themeColor="accent2"/>
                <w:spacing w:val="-1"/>
                <w:sz w:val="22"/>
                <w:szCs w:val="20"/>
              </w:rPr>
            </w:pPr>
          </w:p>
        </w:tc>
      </w:tr>
    </w:tbl>
    <w:p w14:paraId="283595F9" w14:textId="77777777" w:rsidR="00C72F15" w:rsidRDefault="00C72F15" w:rsidP="00C113C4">
      <w:pPr>
        <w:pStyle w:val="NormalWeb"/>
        <w:shd w:val="clear" w:color="auto" w:fill="FFFFFF"/>
        <w:rPr>
          <w:rFonts w:cstheme="minorHAnsi"/>
          <w:color w:val="253746"/>
          <w:sz w:val="22"/>
          <w:szCs w:val="22"/>
        </w:rPr>
      </w:pPr>
    </w:p>
    <w:sectPr w:rsidR="00C72F15" w:rsidSect="00410D3C">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134"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1C2E" w14:textId="77777777" w:rsidR="002C69E3" w:rsidRDefault="002C69E3" w:rsidP="003858AD">
      <w:r>
        <w:separator/>
      </w:r>
    </w:p>
  </w:endnote>
  <w:endnote w:type="continuationSeparator" w:id="0">
    <w:p w14:paraId="4953905E" w14:textId="77777777" w:rsidR="002C69E3" w:rsidRDefault="002C69E3" w:rsidP="003858AD">
      <w:r>
        <w:continuationSeparator/>
      </w:r>
    </w:p>
  </w:endnote>
  <w:endnote w:type="continuationNotice" w:id="1">
    <w:p w14:paraId="28B1EF74" w14:textId="77777777" w:rsidR="002C69E3" w:rsidRDefault="002C69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urostile LT">
    <w:altName w:val="Agency F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EC79" w14:textId="77777777" w:rsidR="005B0F85" w:rsidRDefault="005B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A1D3" w14:textId="5EE7BEBB" w:rsidR="002C69E3" w:rsidRDefault="002C69E3" w:rsidP="000E4D39">
    <w:pPr>
      <w:pStyle w:val="Footer"/>
      <w:tabs>
        <w:tab w:val="right" w:pos="14570"/>
      </w:tabs>
    </w:pPr>
    <w:r>
      <w:rPr>
        <w:noProof/>
      </w:rPr>
      <w:tab/>
    </w:r>
    <w:r w:rsidRPr="00681610">
      <w:rPr>
        <w:rStyle w:val="PageNumber"/>
      </w:rPr>
      <w:fldChar w:fldCharType="begin"/>
    </w:r>
    <w:r w:rsidRPr="00681610">
      <w:rPr>
        <w:rStyle w:val="PageNumber"/>
      </w:rPr>
      <w:instrText xml:space="preserve"> PAGE  \* Arabic </w:instrText>
    </w:r>
    <w:r w:rsidRPr="00681610">
      <w:rPr>
        <w:rStyle w:val="PageNumber"/>
      </w:rPr>
      <w:fldChar w:fldCharType="separate"/>
    </w:r>
    <w:r w:rsidR="005B0F85">
      <w:rPr>
        <w:rStyle w:val="PageNumber"/>
        <w:noProof/>
      </w:rPr>
      <w:t>2</w:t>
    </w:r>
    <w:r w:rsidRPr="00681610">
      <w:rPr>
        <w:rStyle w:val="PageNumber"/>
      </w:rPr>
      <w:fldChar w:fldCharType="end"/>
    </w:r>
    <w:r w:rsidRPr="00681610">
      <w:rPr>
        <w:rStyle w:val="PageNumber"/>
      </w:rPr>
      <w:t>/</w:t>
    </w:r>
    <w:r w:rsidRPr="00681610">
      <w:rPr>
        <w:rStyle w:val="PageNumber"/>
      </w:rPr>
      <w:fldChar w:fldCharType="begin"/>
    </w:r>
    <w:r w:rsidRPr="00681610">
      <w:rPr>
        <w:rStyle w:val="PageNumber"/>
      </w:rPr>
      <w:instrText xml:space="preserve"> NUMPAGES  \* Arabic </w:instrText>
    </w:r>
    <w:r w:rsidRPr="00681610">
      <w:rPr>
        <w:rStyle w:val="PageNumber"/>
      </w:rPr>
      <w:fldChar w:fldCharType="separate"/>
    </w:r>
    <w:r w:rsidR="005B0F85">
      <w:rPr>
        <w:rStyle w:val="PageNumber"/>
        <w:noProof/>
      </w:rPr>
      <w:t>27</w:t>
    </w:r>
    <w:r w:rsidRPr="0068161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AAB9" w14:textId="54A590C4" w:rsidR="002C69E3" w:rsidRDefault="002C69E3" w:rsidP="000E4D39">
    <w:pPr>
      <w:pStyle w:val="Footer"/>
      <w:tabs>
        <w:tab w:val="right" w:pos="14570"/>
      </w:tabs>
    </w:pPr>
    <w:r>
      <w:rPr>
        <w:noProof/>
      </w:rPr>
      <w:tab/>
    </w:r>
    <w:r w:rsidRPr="00681610">
      <w:rPr>
        <w:rStyle w:val="PageNumber"/>
      </w:rPr>
      <w:fldChar w:fldCharType="begin"/>
    </w:r>
    <w:r w:rsidRPr="00681610">
      <w:rPr>
        <w:rStyle w:val="PageNumber"/>
      </w:rPr>
      <w:instrText xml:space="preserve"> PAGE  \* Arabic </w:instrText>
    </w:r>
    <w:r w:rsidRPr="00681610">
      <w:rPr>
        <w:rStyle w:val="PageNumber"/>
      </w:rPr>
      <w:fldChar w:fldCharType="separate"/>
    </w:r>
    <w:r w:rsidR="005B0F85">
      <w:rPr>
        <w:rStyle w:val="PageNumber"/>
        <w:noProof/>
      </w:rPr>
      <w:t>1</w:t>
    </w:r>
    <w:r w:rsidRPr="00681610">
      <w:rPr>
        <w:rStyle w:val="PageNumber"/>
      </w:rPr>
      <w:fldChar w:fldCharType="end"/>
    </w:r>
    <w:r w:rsidRPr="00681610">
      <w:rPr>
        <w:rStyle w:val="PageNumber"/>
      </w:rPr>
      <w:t>/</w:t>
    </w:r>
    <w:r w:rsidRPr="00681610">
      <w:rPr>
        <w:rStyle w:val="PageNumber"/>
      </w:rPr>
      <w:fldChar w:fldCharType="begin"/>
    </w:r>
    <w:r w:rsidRPr="00681610">
      <w:rPr>
        <w:rStyle w:val="PageNumber"/>
      </w:rPr>
      <w:instrText xml:space="preserve"> NUMPAGES  \* Arabic </w:instrText>
    </w:r>
    <w:r w:rsidRPr="00681610">
      <w:rPr>
        <w:rStyle w:val="PageNumber"/>
      </w:rPr>
      <w:fldChar w:fldCharType="separate"/>
    </w:r>
    <w:r w:rsidR="005B0F85">
      <w:rPr>
        <w:rStyle w:val="PageNumber"/>
        <w:noProof/>
      </w:rPr>
      <w:t>27</w:t>
    </w:r>
    <w:r w:rsidRPr="0068161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BC55C" w14:textId="77777777" w:rsidR="002C69E3" w:rsidRDefault="002C69E3" w:rsidP="0061669C">
      <w:pPr>
        <w:pStyle w:val="FootnoteSeparator"/>
      </w:pPr>
      <w:r>
        <w:separator/>
      </w:r>
    </w:p>
  </w:footnote>
  <w:footnote w:type="continuationSeparator" w:id="0">
    <w:p w14:paraId="5D29AC6D" w14:textId="77777777" w:rsidR="002C69E3" w:rsidRDefault="002C69E3" w:rsidP="003858AD">
      <w:r>
        <w:continuationSeparator/>
      </w:r>
    </w:p>
  </w:footnote>
  <w:footnote w:type="continuationNotice" w:id="1">
    <w:p w14:paraId="0C3CA1A0" w14:textId="77777777" w:rsidR="002C69E3" w:rsidRDefault="002C69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9AAB" w14:textId="3690AC02" w:rsidR="002C69E3" w:rsidRDefault="005B0F85">
    <w:pPr>
      <w:pStyle w:val="Header"/>
    </w:pPr>
    <w:r>
      <w:rPr>
        <w:noProof/>
      </w:rPr>
      <w:pict w14:anchorId="6C19D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24.65pt;height:254.7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FAFAB" w14:textId="557E69B5" w:rsidR="002C69E3" w:rsidRPr="001977CE" w:rsidRDefault="002C69E3" w:rsidP="000E4D39">
    <w:pPr>
      <w:pStyle w:val="NumberedHeading1"/>
      <w:numPr>
        <w:ilvl w:val="0"/>
        <w:numId w:val="0"/>
      </w:numPr>
      <w:rPr>
        <w:color w:val="0070C0"/>
        <w:szCs w:val="28"/>
      </w:rPr>
    </w:pPr>
    <w:r w:rsidRPr="001977CE">
      <w:rPr>
        <w:color w:val="0070C0"/>
        <w:szCs w:val="28"/>
      </w:rPr>
      <w:t>Response to ASX Consultation Paper</w:t>
    </w:r>
    <w:r w:rsidRPr="001977CE">
      <w:rPr>
        <w:color w:val="0070C0"/>
        <w:szCs w:val="28"/>
      </w:rPr>
      <w:br/>
      <w:t>Enhancing the ASX</w:t>
    </w:r>
    <w:r w:rsidR="005B0F85">
      <w:rPr>
        <w:color w:val="0070C0"/>
        <w:szCs w:val="28"/>
      </w:rPr>
      <w:t xml:space="preserve"> Investment Products Offering (2</w:t>
    </w:r>
    <w:bookmarkStart w:id="0" w:name="_GoBack"/>
    <w:bookmarkEnd w:id="0"/>
    <w:r w:rsidRPr="001977CE">
      <w:rPr>
        <w:color w:val="0070C0"/>
        <w:szCs w:val="28"/>
      </w:rPr>
      <w:t>6 April 2022)</w:t>
    </w:r>
  </w:p>
  <w:p w14:paraId="091A35F8" w14:textId="086B785D" w:rsidR="002C69E3" w:rsidRPr="000E4D39" w:rsidRDefault="002C69E3" w:rsidP="000E4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8F4C" w14:textId="4E039FCB" w:rsidR="002C69E3" w:rsidRPr="001977CE" w:rsidRDefault="002C69E3" w:rsidP="00410D3C">
    <w:pPr>
      <w:pStyle w:val="NumberedHeading1"/>
      <w:numPr>
        <w:ilvl w:val="0"/>
        <w:numId w:val="0"/>
      </w:numPr>
      <w:spacing w:after="240"/>
      <w:rPr>
        <w:color w:val="0070C0"/>
        <w:sz w:val="40"/>
        <w:szCs w:val="40"/>
      </w:rPr>
    </w:pPr>
    <w:bookmarkStart w:id="1" w:name="_Toc101372950"/>
    <w:r w:rsidRPr="001977CE">
      <w:rPr>
        <w:color w:val="0070C0"/>
        <w:sz w:val="40"/>
        <w:szCs w:val="40"/>
      </w:rPr>
      <w:t>Response to ASX Consultation Paper</w:t>
    </w:r>
    <w:bookmarkEnd w:id="1"/>
    <w:r w:rsidRPr="001977CE">
      <w:rPr>
        <w:color w:val="0070C0"/>
        <w:sz w:val="40"/>
        <w:szCs w:val="40"/>
      </w:rPr>
      <w:br/>
      <w:t xml:space="preserve">Enhancing the ASX Investment Products </w:t>
    </w:r>
    <w:r w:rsidR="005B0F85">
      <w:rPr>
        <w:color w:val="0070C0"/>
        <w:sz w:val="40"/>
        <w:szCs w:val="40"/>
      </w:rPr>
      <w:t>Offering (2</w:t>
    </w:r>
    <w:r w:rsidRPr="001977CE">
      <w:rPr>
        <w:color w:val="0070C0"/>
        <w:sz w:val="40"/>
        <w:szCs w:val="40"/>
      </w:rPr>
      <w:t>6 April 2022)</w:t>
    </w:r>
  </w:p>
  <w:p w14:paraId="57800829" w14:textId="796CF285" w:rsidR="002C69E3" w:rsidRDefault="002C69E3" w:rsidP="000E4D39">
    <w:pPr>
      <w:pStyle w:val="Header"/>
      <w:tabs>
        <w:tab w:val="left" w:pos="2710"/>
      </w:tabs>
    </w:pPr>
    <w:r>
      <w:rPr>
        <w:noProof/>
        <w:lang w:eastAsia="en-AU"/>
      </w:rPr>
      <w:drawing>
        <wp:anchor distT="0" distB="0" distL="114300" distR="114300" simplePos="0" relativeHeight="251657728" behindDoc="1" locked="1" layoutInCell="0" allowOverlap="1" wp14:anchorId="1FAB8EC8" wp14:editId="1391638E">
          <wp:simplePos x="0" y="0"/>
          <wp:positionH relativeFrom="page">
            <wp:align>right</wp:align>
          </wp:positionH>
          <wp:positionV relativeFrom="page">
            <wp:align>top</wp:align>
          </wp:positionV>
          <wp:extent cx="1123200" cy="134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X2946_REPORT TEMPLATE_1.0•.png"/>
                  <pic:cNvPicPr/>
                </pic:nvPicPr>
                <pic:blipFill>
                  <a:blip r:embed="rId1"/>
                  <a:stretch>
                    <a:fillRect/>
                  </a:stretch>
                </pic:blipFill>
                <pic:spPr>
                  <a:xfrm>
                    <a:off x="0" y="0"/>
                    <a:ext cx="1123200" cy="134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704" behindDoc="1" locked="1" layoutInCell="0" allowOverlap="1" wp14:anchorId="1FAB8EC8" wp14:editId="1391638E">
          <wp:simplePos x="0" y="0"/>
          <wp:positionH relativeFrom="page">
            <wp:align>right</wp:align>
          </wp:positionH>
          <wp:positionV relativeFrom="page">
            <wp:align>top</wp:align>
          </wp:positionV>
          <wp:extent cx="1123200" cy="134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X2946_REPORT TEMPLATE_1.0•.png"/>
                  <pic:cNvPicPr/>
                </pic:nvPicPr>
                <pic:blipFill>
                  <a:blip r:embed="rId1"/>
                  <a:stretch>
                    <a:fillRect/>
                  </a:stretch>
                </pic:blipFill>
                <pic:spPr>
                  <a:xfrm>
                    <a:off x="0" y="0"/>
                    <a:ext cx="11232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1E885D"/>
    <w:multiLevelType w:val="multilevel"/>
    <w:tmpl w:val="B3D6B15A"/>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9E6E6D0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972AB080"/>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529CAB6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E24667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9"/>
    <w:multiLevelType w:val="singleLevel"/>
    <w:tmpl w:val="204208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7" w15:restartNumberingAfterBreak="0">
    <w:nsid w:val="09B814DB"/>
    <w:multiLevelType w:val="multilevel"/>
    <w:tmpl w:val="5E009A34"/>
    <w:styleLink w:val="ASXNumbers"/>
    <w:lvl w:ilvl="0">
      <w:start w:val="1"/>
      <w:numFmt w:val="decimal"/>
      <w:pStyle w:val="ListNumber"/>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8" w15:restartNumberingAfterBreak="0">
    <w:nsid w:val="11BD4288"/>
    <w:multiLevelType w:val="hybridMultilevel"/>
    <w:tmpl w:val="ACB4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060571"/>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7AD6D16"/>
    <w:multiLevelType w:val="hybridMultilevel"/>
    <w:tmpl w:val="8C3C3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C01E2"/>
    <w:multiLevelType w:val="multilevel"/>
    <w:tmpl w:val="EBF0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1204E"/>
    <w:multiLevelType w:val="multilevel"/>
    <w:tmpl w:val="FECA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3AEC0F"/>
    <w:multiLevelType w:val="hybridMultilevel"/>
    <w:tmpl w:val="FF796E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74352F"/>
    <w:multiLevelType w:val="hybridMultilevel"/>
    <w:tmpl w:val="FCF2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800968"/>
    <w:multiLevelType w:val="multilevel"/>
    <w:tmpl w:val="581CAF6E"/>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567" w:hanging="567"/>
      </w:pPr>
      <w:rPr>
        <w:rFonts w:hint="default"/>
        <w:b/>
      </w:rPr>
    </w:lvl>
    <w:lvl w:ilvl="2">
      <w:start w:val="1"/>
      <w:numFmt w:val="decimal"/>
      <w:pStyle w:val="NumberedHeading3"/>
      <w:lvlText w:val="%1.%2.%3"/>
      <w:lvlJc w:val="left"/>
      <w:pPr>
        <w:ind w:left="567" w:firstLine="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7" w15:restartNumberingAfterBreak="0">
    <w:nsid w:val="330A3FCA"/>
    <w:multiLevelType w:val="multilevel"/>
    <w:tmpl w:val="FAF41256"/>
    <w:styleLink w:val="BulletList"/>
    <w:lvl w:ilvl="0">
      <w:start w:val="1"/>
      <w:numFmt w:val="bullet"/>
      <w:lvlText w:val=""/>
      <w:lvlJc w:val="left"/>
      <w:pPr>
        <w:ind w:left="340" w:hanging="340"/>
      </w:pPr>
      <w:rPr>
        <w:rFonts w:ascii="Symbol" w:hAnsi="Symbol" w:hint="default"/>
        <w:color w:val="009FDF" w:themeColor="accent2"/>
        <w:sz w:val="17"/>
      </w:rPr>
    </w:lvl>
    <w:lvl w:ilvl="1">
      <w:start w:val="1"/>
      <w:numFmt w:val="bullet"/>
      <w:lvlRestart w:val="0"/>
      <w:lvlText w:val="‒"/>
      <w:lvlJc w:val="left"/>
      <w:pPr>
        <w:ind w:left="340" w:firstLine="0"/>
      </w:pPr>
      <w:rPr>
        <w:rFonts w:ascii="Arial" w:hAnsi="Arial" w:hint="default"/>
        <w:color w:val="009FDF" w:themeColor="accent2"/>
      </w:rPr>
    </w:lvl>
    <w:lvl w:ilvl="2">
      <w:start w:val="1"/>
      <w:numFmt w:val="bullet"/>
      <w:lvlRestart w:val="0"/>
      <w:lvlText w:val="‒"/>
      <w:lvlJc w:val="left"/>
      <w:pPr>
        <w:ind w:left="340" w:firstLine="340"/>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39553C31"/>
    <w:multiLevelType w:val="multilevel"/>
    <w:tmpl w:val="B72A494C"/>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6441A"/>
    <w:multiLevelType w:val="multilevel"/>
    <w:tmpl w:val="C30676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69D40CF"/>
    <w:multiLevelType w:val="multilevel"/>
    <w:tmpl w:val="55448986"/>
    <w:lvl w:ilvl="0">
      <w:start w:val="1"/>
      <w:numFmt w:val="decimal"/>
      <w:lvlText w:val="(%1)"/>
      <w:lvlJc w:val="left"/>
      <w:pPr>
        <w:ind w:left="567" w:hanging="567"/>
      </w:pPr>
      <w:rPr>
        <w:rFonts w:hint="default"/>
        <w:color w:val="auto"/>
        <w:sz w:val="22"/>
      </w:rPr>
    </w:lvl>
    <w:lvl w:ilvl="1">
      <w:start w:val="1"/>
      <w:numFmt w:val="bullet"/>
      <w:lvlText w:val="o"/>
      <w:lvlJc w:val="left"/>
      <w:pPr>
        <w:ind w:left="1134" w:hanging="567"/>
      </w:pPr>
      <w:rPr>
        <w:rFonts w:ascii="Courier New" w:hAnsi="Courier New" w:hint="default"/>
        <w:color w:val="009FDF" w:themeColor="accent2"/>
      </w:rPr>
    </w:lvl>
    <w:lvl w:ilvl="2">
      <w:start w:val="1"/>
      <w:numFmt w:val="bullet"/>
      <w:lvlText w:val=""/>
      <w:lvlJc w:val="left"/>
      <w:pPr>
        <w:ind w:left="1701" w:hanging="567"/>
      </w:pPr>
      <w:rPr>
        <w:rFonts w:ascii="Wingdings" w:hAnsi="Wingdings" w:hint="default"/>
        <w:color w:val="009FDF" w:themeColor="accent2"/>
      </w:rPr>
    </w:lvl>
    <w:lvl w:ilvl="3">
      <w:start w:val="1"/>
      <w:numFmt w:val="bullet"/>
      <w:lvlText w:val=""/>
      <w:lvlJc w:val="left"/>
      <w:pPr>
        <w:ind w:left="2268" w:hanging="567"/>
      </w:pPr>
      <w:rPr>
        <w:rFonts w:ascii="Symbol" w:hAnsi="Symbol" w:hint="default"/>
        <w:color w:val="009FDF" w:themeColor="accent2"/>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48A80708"/>
    <w:multiLevelType w:val="multilevel"/>
    <w:tmpl w:val="00C0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34E91"/>
    <w:multiLevelType w:val="multilevel"/>
    <w:tmpl w:val="D9BCB5B2"/>
    <w:styleLink w:val="ASXNumberedHeadings"/>
    <w:lvl w:ilvl="0">
      <w:start w:val="1"/>
      <w:numFmt w:val="decimal"/>
      <w:lvlText w:val="%1."/>
      <w:lvlJc w:val="left"/>
      <w:pPr>
        <w:ind w:left="369" w:hanging="369"/>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3" w15:restartNumberingAfterBreak="0">
    <w:nsid w:val="543EEAF8"/>
    <w:multiLevelType w:val="hybridMultilevel"/>
    <w:tmpl w:val="EA70BE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BA3D4D"/>
    <w:multiLevelType w:val="hybridMultilevel"/>
    <w:tmpl w:val="01F43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D04A3"/>
    <w:multiLevelType w:val="hybridMultilevel"/>
    <w:tmpl w:val="A7FEE2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C616ED"/>
    <w:multiLevelType w:val="multilevel"/>
    <w:tmpl w:val="8ED299AA"/>
    <w:lvl w:ilvl="0">
      <w:start w:val="1"/>
      <w:numFmt w:val="lowerLetter"/>
      <w:pStyle w:val="NumberingLevel3"/>
      <w:lvlText w:val="(%1)"/>
      <w:lvlJc w:val="left"/>
      <w:pPr>
        <w:ind w:left="567" w:hanging="567"/>
      </w:pPr>
      <w:rPr>
        <w:rFonts w:ascii="Calibri" w:hAnsi="Calibri" w:hint="default"/>
        <w:b w:val="0"/>
        <w:bCs w:val="0"/>
        <w:i w:val="0"/>
        <w:iCs w:val="0"/>
        <w:caps w:val="0"/>
        <w:strike w:val="0"/>
        <w:dstrike w:val="0"/>
        <w:vanish w:val="0"/>
        <w:color w:val="000000"/>
        <w:spacing w:val="0"/>
        <w:kern w:val="0"/>
        <w:position w:val="0"/>
        <w:sz w:val="20"/>
        <w:u w:val="none"/>
        <w:effect w:val="none"/>
        <w:vertAlign w:val="baseline"/>
        <w:em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FA31562"/>
    <w:multiLevelType w:val="multilevel"/>
    <w:tmpl w:val="30904D5A"/>
    <w:lvl w:ilvl="0">
      <w:start w:val="1"/>
      <w:numFmt w:val="decimal"/>
      <w:lvlText w:val="%1."/>
      <w:lvlJc w:val="left"/>
      <w:pPr>
        <w:ind w:left="567" w:hanging="567"/>
      </w:pPr>
      <w:rPr>
        <w:rFonts w:hint="default"/>
        <w:color w:val="009FDF" w:themeColor="accent2"/>
        <w:sz w:val="22"/>
      </w:rPr>
    </w:lvl>
    <w:lvl w:ilvl="1">
      <w:start w:val="1"/>
      <w:numFmt w:val="bullet"/>
      <w:lvlText w:val="o"/>
      <w:lvlJc w:val="left"/>
      <w:pPr>
        <w:ind w:left="1134" w:hanging="567"/>
      </w:pPr>
      <w:rPr>
        <w:rFonts w:ascii="Courier New" w:hAnsi="Courier New" w:hint="default"/>
        <w:color w:val="009FDF" w:themeColor="accent2"/>
      </w:rPr>
    </w:lvl>
    <w:lvl w:ilvl="2">
      <w:start w:val="1"/>
      <w:numFmt w:val="bullet"/>
      <w:lvlText w:val=""/>
      <w:lvlJc w:val="left"/>
      <w:pPr>
        <w:ind w:left="1701" w:hanging="567"/>
      </w:pPr>
      <w:rPr>
        <w:rFonts w:ascii="Wingdings" w:hAnsi="Wingdings" w:hint="default"/>
        <w:color w:val="009FDF" w:themeColor="accent2"/>
      </w:rPr>
    </w:lvl>
    <w:lvl w:ilvl="3">
      <w:start w:val="1"/>
      <w:numFmt w:val="bullet"/>
      <w:lvlText w:val=""/>
      <w:lvlJc w:val="left"/>
      <w:pPr>
        <w:ind w:left="2268" w:hanging="567"/>
      </w:pPr>
      <w:rPr>
        <w:rFonts w:ascii="Symbol" w:hAnsi="Symbol" w:hint="default"/>
        <w:color w:val="009FDF" w:themeColor="accent2"/>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8" w15:restartNumberingAfterBreak="0">
    <w:nsid w:val="741B0ADD"/>
    <w:multiLevelType w:val="hybridMultilevel"/>
    <w:tmpl w:val="E0360416"/>
    <w:lvl w:ilvl="0" w:tplc="8C82C7E2">
      <w:start w:val="1"/>
      <w:numFmt w:val="bullet"/>
      <w:pStyle w:val="ListBullet2"/>
      <w:lvlText w:val="o"/>
      <w:lvlJc w:val="left"/>
      <w:pPr>
        <w:ind w:left="1494" w:hanging="360"/>
      </w:pPr>
      <w:rPr>
        <w:rFonts w:ascii="Courier New" w:hAnsi="Courier New" w:hint="default"/>
        <w:color w:val="009FD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B472FC"/>
    <w:multiLevelType w:val="multilevel"/>
    <w:tmpl w:val="27B4B0F4"/>
    <w:styleLink w:val="Style1"/>
    <w:lvl w:ilvl="0">
      <w:start w:val="1"/>
      <w:numFmt w:val="bullet"/>
      <w:lvlText w:val=""/>
      <w:lvlJc w:val="left"/>
      <w:pPr>
        <w:ind w:left="567" w:hanging="567"/>
      </w:pPr>
      <w:rPr>
        <w:rFonts w:ascii="Symbol" w:hAnsi="Symbol" w:hint="default"/>
        <w:color w:val="009FDF"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D96379"/>
    <w:multiLevelType w:val="multilevel"/>
    <w:tmpl w:val="5E009A34"/>
    <w:numStyleLink w:val="ASXNumbers"/>
  </w:abstractNum>
  <w:abstractNum w:abstractNumId="31" w15:restartNumberingAfterBreak="0">
    <w:nsid w:val="761E3DBB"/>
    <w:multiLevelType w:val="multilevel"/>
    <w:tmpl w:val="4DAC203A"/>
    <w:lvl w:ilvl="0">
      <w:start w:val="1"/>
      <w:numFmt w:val="bullet"/>
      <w:pStyle w:val="ListBullet"/>
      <w:lvlText w:val=""/>
      <w:lvlJc w:val="left"/>
      <w:pPr>
        <w:ind w:left="567" w:hanging="567"/>
      </w:pPr>
      <w:rPr>
        <w:rFonts w:ascii="Symbol" w:hAnsi="Symbol" w:hint="default"/>
        <w:color w:val="009FDF" w:themeColor="accent2"/>
        <w:sz w:val="22"/>
      </w:rPr>
    </w:lvl>
    <w:lvl w:ilvl="1">
      <w:start w:val="1"/>
      <w:numFmt w:val="bullet"/>
      <w:lvlText w:val="o"/>
      <w:lvlJc w:val="left"/>
      <w:pPr>
        <w:ind w:left="1134" w:hanging="567"/>
      </w:pPr>
      <w:rPr>
        <w:rFonts w:ascii="Courier New" w:hAnsi="Courier New" w:hint="default"/>
        <w:color w:val="009FDF" w:themeColor="accent2"/>
      </w:rPr>
    </w:lvl>
    <w:lvl w:ilvl="2">
      <w:start w:val="1"/>
      <w:numFmt w:val="bullet"/>
      <w:pStyle w:val="ListBullet3"/>
      <w:lvlText w:val=""/>
      <w:lvlJc w:val="left"/>
      <w:pPr>
        <w:ind w:left="1701" w:hanging="567"/>
      </w:pPr>
      <w:rPr>
        <w:rFonts w:ascii="Wingdings" w:hAnsi="Wingdings" w:hint="default"/>
        <w:color w:val="009FDF" w:themeColor="accent2"/>
      </w:rPr>
    </w:lvl>
    <w:lvl w:ilvl="3">
      <w:start w:val="1"/>
      <w:numFmt w:val="bullet"/>
      <w:lvlText w:val=""/>
      <w:lvlJc w:val="left"/>
      <w:pPr>
        <w:ind w:left="2268" w:hanging="567"/>
      </w:pPr>
      <w:rPr>
        <w:rFonts w:ascii="Symbol" w:hAnsi="Symbol" w:hint="default"/>
        <w:color w:val="009FDF" w:themeColor="accent2"/>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2"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32"/>
  </w:num>
  <w:num w:numId="6">
    <w:abstractNumId w:val="14"/>
  </w:num>
  <w:num w:numId="7">
    <w:abstractNumId w:val="9"/>
  </w:num>
  <w:num w:numId="8">
    <w:abstractNumId w:val="7"/>
  </w:num>
  <w:num w:numId="9">
    <w:abstractNumId w:val="22"/>
  </w:num>
  <w:num w:numId="10">
    <w:abstractNumId w:val="6"/>
    <w:lvlOverride w:ilvl="0">
      <w:lvl w:ilvl="0">
        <w:start w:val="1"/>
        <w:numFmt w:val="decimal"/>
        <w:pStyle w:val="QAPoints"/>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17"/>
  </w:num>
  <w:num w:numId="12">
    <w:abstractNumId w:val="30"/>
  </w:num>
  <w:num w:numId="13">
    <w:abstractNumId w:val="6"/>
  </w:num>
  <w:num w:numId="14">
    <w:abstractNumId w:val="16"/>
  </w:num>
  <w:num w:numId="15">
    <w:abstractNumId w:val="29"/>
  </w:num>
  <w:num w:numId="16">
    <w:abstractNumId w:val="31"/>
  </w:num>
  <w:num w:numId="17">
    <w:abstractNumId w:val="26"/>
  </w:num>
  <w:num w:numId="18">
    <w:abstractNumId w:val="21"/>
  </w:num>
  <w:num w:numId="19">
    <w:abstractNumId w:val="28"/>
  </w:num>
  <w:num w:numId="20">
    <w:abstractNumId w:val="10"/>
  </w:num>
  <w:num w:numId="21">
    <w:abstractNumId w:val="8"/>
  </w:num>
  <w:num w:numId="22">
    <w:abstractNumId w:val="31"/>
  </w:num>
  <w:num w:numId="23">
    <w:abstractNumId w:val="15"/>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2"/>
  </w:num>
  <w:num w:numId="30">
    <w:abstractNumId w:val="18"/>
  </w:num>
  <w:num w:numId="31">
    <w:abstractNumId w:val="31"/>
  </w:num>
  <w:num w:numId="32">
    <w:abstractNumId w:val="31"/>
  </w:num>
  <w:num w:numId="33">
    <w:abstractNumId w:val="31"/>
  </w:num>
  <w:num w:numId="34">
    <w:abstractNumId w:val="31"/>
  </w:num>
  <w:num w:numId="35">
    <w:abstractNumId w:val="0"/>
  </w:num>
  <w:num w:numId="36">
    <w:abstractNumId w:val="31"/>
  </w:num>
  <w:num w:numId="37">
    <w:abstractNumId w:val="31"/>
  </w:num>
  <w:num w:numId="38">
    <w:abstractNumId w:val="24"/>
  </w:num>
  <w:num w:numId="39">
    <w:abstractNumId w:val="23"/>
  </w:num>
  <w:num w:numId="40">
    <w:abstractNumId w:val="25"/>
  </w:num>
  <w:num w:numId="41">
    <w:abstractNumId w:val="13"/>
  </w:num>
  <w:num w:numId="42">
    <w:abstractNumId w:val="27"/>
  </w:num>
  <w:num w:numId="43">
    <w:abstractNumId w:val="20"/>
  </w:num>
  <w:num w:numId="44">
    <w:abstractNumId w:val="5"/>
  </w:num>
  <w:num w:numId="45">
    <w:abstractNumId w:val="31"/>
  </w:num>
  <w:num w:numId="46">
    <w:abstractNumId w:val="31"/>
  </w:num>
  <w:num w:numId="47">
    <w:abstractNumId w:val="31"/>
  </w:num>
  <w:num w:numId="4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hideGrammaticalErrors/>
  <w:stylePaneFormatFilter w:val="3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0"/>
  <w:stylePaneSortMethod w:val="0000"/>
  <w:doNotTrackMoves/>
  <w:doNotTrackFormatting/>
  <w:defaultTabStop w:val="567"/>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1A"/>
    <w:rsid w:val="000000CE"/>
    <w:rsid w:val="00000488"/>
    <w:rsid w:val="0000048A"/>
    <w:rsid w:val="00001BB3"/>
    <w:rsid w:val="0000250A"/>
    <w:rsid w:val="000033EC"/>
    <w:rsid w:val="000039F9"/>
    <w:rsid w:val="00003C48"/>
    <w:rsid w:val="00003DD6"/>
    <w:rsid w:val="0000430C"/>
    <w:rsid w:val="00004316"/>
    <w:rsid w:val="000044A0"/>
    <w:rsid w:val="00004771"/>
    <w:rsid w:val="00004D98"/>
    <w:rsid w:val="00005256"/>
    <w:rsid w:val="00005488"/>
    <w:rsid w:val="0000685A"/>
    <w:rsid w:val="00007082"/>
    <w:rsid w:val="000070F4"/>
    <w:rsid w:val="0000735F"/>
    <w:rsid w:val="0000769A"/>
    <w:rsid w:val="000078B8"/>
    <w:rsid w:val="00007E22"/>
    <w:rsid w:val="0001047C"/>
    <w:rsid w:val="00010F46"/>
    <w:rsid w:val="00011507"/>
    <w:rsid w:val="00011B6B"/>
    <w:rsid w:val="00011F51"/>
    <w:rsid w:val="00011F7A"/>
    <w:rsid w:val="00012285"/>
    <w:rsid w:val="000122C4"/>
    <w:rsid w:val="00012339"/>
    <w:rsid w:val="00012C19"/>
    <w:rsid w:val="00012C9E"/>
    <w:rsid w:val="00012E5E"/>
    <w:rsid w:val="000132E6"/>
    <w:rsid w:val="000139A4"/>
    <w:rsid w:val="00013F71"/>
    <w:rsid w:val="00014CEC"/>
    <w:rsid w:val="00014DEA"/>
    <w:rsid w:val="00015919"/>
    <w:rsid w:val="00015991"/>
    <w:rsid w:val="00015F1F"/>
    <w:rsid w:val="00016475"/>
    <w:rsid w:val="000164E3"/>
    <w:rsid w:val="00016855"/>
    <w:rsid w:val="00016F7A"/>
    <w:rsid w:val="00020355"/>
    <w:rsid w:val="00020482"/>
    <w:rsid w:val="00020AC0"/>
    <w:rsid w:val="00020D9A"/>
    <w:rsid w:val="00020F63"/>
    <w:rsid w:val="00021171"/>
    <w:rsid w:val="00021FE1"/>
    <w:rsid w:val="000229CD"/>
    <w:rsid w:val="0002395D"/>
    <w:rsid w:val="00023C9D"/>
    <w:rsid w:val="00023CCE"/>
    <w:rsid w:val="00023E65"/>
    <w:rsid w:val="00024B9C"/>
    <w:rsid w:val="00025C92"/>
    <w:rsid w:val="00025FC6"/>
    <w:rsid w:val="000263BC"/>
    <w:rsid w:val="000269F1"/>
    <w:rsid w:val="00027669"/>
    <w:rsid w:val="000279A2"/>
    <w:rsid w:val="00027D64"/>
    <w:rsid w:val="00027EC9"/>
    <w:rsid w:val="00027FE2"/>
    <w:rsid w:val="00030ED4"/>
    <w:rsid w:val="000311E4"/>
    <w:rsid w:val="0003190D"/>
    <w:rsid w:val="00031E3C"/>
    <w:rsid w:val="00032822"/>
    <w:rsid w:val="0003333D"/>
    <w:rsid w:val="0003355E"/>
    <w:rsid w:val="00033D16"/>
    <w:rsid w:val="000348DC"/>
    <w:rsid w:val="00034E43"/>
    <w:rsid w:val="00035064"/>
    <w:rsid w:val="00035664"/>
    <w:rsid w:val="000369A4"/>
    <w:rsid w:val="00041C35"/>
    <w:rsid w:val="00042554"/>
    <w:rsid w:val="00042D90"/>
    <w:rsid w:val="0004401B"/>
    <w:rsid w:val="000443B1"/>
    <w:rsid w:val="0004534C"/>
    <w:rsid w:val="00045E83"/>
    <w:rsid w:val="00046A2D"/>
    <w:rsid w:val="00047140"/>
    <w:rsid w:val="00047374"/>
    <w:rsid w:val="00047529"/>
    <w:rsid w:val="000476DB"/>
    <w:rsid w:val="000477DD"/>
    <w:rsid w:val="00050953"/>
    <w:rsid w:val="00051478"/>
    <w:rsid w:val="0005169E"/>
    <w:rsid w:val="00051E7C"/>
    <w:rsid w:val="000526D7"/>
    <w:rsid w:val="00052833"/>
    <w:rsid w:val="00052A10"/>
    <w:rsid w:val="000542C0"/>
    <w:rsid w:val="00054C51"/>
    <w:rsid w:val="00055684"/>
    <w:rsid w:val="000564F6"/>
    <w:rsid w:val="00056E31"/>
    <w:rsid w:val="00057FCB"/>
    <w:rsid w:val="000603F6"/>
    <w:rsid w:val="00060A08"/>
    <w:rsid w:val="000615C4"/>
    <w:rsid w:val="0006284D"/>
    <w:rsid w:val="00062B17"/>
    <w:rsid w:val="000631B7"/>
    <w:rsid w:val="000665A9"/>
    <w:rsid w:val="0007044C"/>
    <w:rsid w:val="00072ACA"/>
    <w:rsid w:val="00072BA9"/>
    <w:rsid w:val="00072C93"/>
    <w:rsid w:val="00073784"/>
    <w:rsid w:val="00073CA3"/>
    <w:rsid w:val="00074044"/>
    <w:rsid w:val="00074451"/>
    <w:rsid w:val="00074536"/>
    <w:rsid w:val="0007528D"/>
    <w:rsid w:val="000752C4"/>
    <w:rsid w:val="0007539B"/>
    <w:rsid w:val="00075D50"/>
    <w:rsid w:val="0007608E"/>
    <w:rsid w:val="000768EA"/>
    <w:rsid w:val="000775D7"/>
    <w:rsid w:val="00080A65"/>
    <w:rsid w:val="00081D2D"/>
    <w:rsid w:val="00081DF5"/>
    <w:rsid w:val="00082C32"/>
    <w:rsid w:val="00083093"/>
    <w:rsid w:val="00083429"/>
    <w:rsid w:val="000837D9"/>
    <w:rsid w:val="00083FE7"/>
    <w:rsid w:val="00084215"/>
    <w:rsid w:val="000844BA"/>
    <w:rsid w:val="00084A5A"/>
    <w:rsid w:val="00084FA3"/>
    <w:rsid w:val="0008541D"/>
    <w:rsid w:val="0008657E"/>
    <w:rsid w:val="00086625"/>
    <w:rsid w:val="00086B6C"/>
    <w:rsid w:val="000907E3"/>
    <w:rsid w:val="00090B64"/>
    <w:rsid w:val="0009116E"/>
    <w:rsid w:val="0009167F"/>
    <w:rsid w:val="000925B5"/>
    <w:rsid w:val="00092A8A"/>
    <w:rsid w:val="00092CE7"/>
    <w:rsid w:val="0009322C"/>
    <w:rsid w:val="0009325B"/>
    <w:rsid w:val="0009396B"/>
    <w:rsid w:val="00094931"/>
    <w:rsid w:val="000955ED"/>
    <w:rsid w:val="00096987"/>
    <w:rsid w:val="00096B2D"/>
    <w:rsid w:val="00096FD9"/>
    <w:rsid w:val="000975C1"/>
    <w:rsid w:val="000A0C3B"/>
    <w:rsid w:val="000A1E9D"/>
    <w:rsid w:val="000A2BD5"/>
    <w:rsid w:val="000A3956"/>
    <w:rsid w:val="000A39A9"/>
    <w:rsid w:val="000A3F89"/>
    <w:rsid w:val="000A4379"/>
    <w:rsid w:val="000A5011"/>
    <w:rsid w:val="000A5688"/>
    <w:rsid w:val="000A6632"/>
    <w:rsid w:val="000A711F"/>
    <w:rsid w:val="000A71E7"/>
    <w:rsid w:val="000A7241"/>
    <w:rsid w:val="000A7747"/>
    <w:rsid w:val="000B030C"/>
    <w:rsid w:val="000B04F0"/>
    <w:rsid w:val="000B23E8"/>
    <w:rsid w:val="000B2C2B"/>
    <w:rsid w:val="000B3880"/>
    <w:rsid w:val="000B47D8"/>
    <w:rsid w:val="000B4D07"/>
    <w:rsid w:val="000B5885"/>
    <w:rsid w:val="000B61F5"/>
    <w:rsid w:val="000B6356"/>
    <w:rsid w:val="000B69C4"/>
    <w:rsid w:val="000B76AA"/>
    <w:rsid w:val="000B779B"/>
    <w:rsid w:val="000C0138"/>
    <w:rsid w:val="000C0E3E"/>
    <w:rsid w:val="000C1A5B"/>
    <w:rsid w:val="000C2255"/>
    <w:rsid w:val="000C22B5"/>
    <w:rsid w:val="000C2BE4"/>
    <w:rsid w:val="000C2C22"/>
    <w:rsid w:val="000C2FFC"/>
    <w:rsid w:val="000C431F"/>
    <w:rsid w:val="000C593E"/>
    <w:rsid w:val="000C5B9B"/>
    <w:rsid w:val="000C5CD4"/>
    <w:rsid w:val="000C7F12"/>
    <w:rsid w:val="000D02C3"/>
    <w:rsid w:val="000D0715"/>
    <w:rsid w:val="000D0BF2"/>
    <w:rsid w:val="000D1C50"/>
    <w:rsid w:val="000D1EB4"/>
    <w:rsid w:val="000D2774"/>
    <w:rsid w:val="000D34DF"/>
    <w:rsid w:val="000D4967"/>
    <w:rsid w:val="000D50BF"/>
    <w:rsid w:val="000D5E6B"/>
    <w:rsid w:val="000D6BD3"/>
    <w:rsid w:val="000D6F03"/>
    <w:rsid w:val="000E08E8"/>
    <w:rsid w:val="000E1374"/>
    <w:rsid w:val="000E13EC"/>
    <w:rsid w:val="000E19E4"/>
    <w:rsid w:val="000E1C0C"/>
    <w:rsid w:val="000E222D"/>
    <w:rsid w:val="000E22CA"/>
    <w:rsid w:val="000E243D"/>
    <w:rsid w:val="000E297C"/>
    <w:rsid w:val="000E2F18"/>
    <w:rsid w:val="000E38F3"/>
    <w:rsid w:val="000E4C2A"/>
    <w:rsid w:val="000E4D39"/>
    <w:rsid w:val="000E5169"/>
    <w:rsid w:val="000E59DD"/>
    <w:rsid w:val="000E5B43"/>
    <w:rsid w:val="000E5D30"/>
    <w:rsid w:val="000E5FEB"/>
    <w:rsid w:val="000E6419"/>
    <w:rsid w:val="000E66E9"/>
    <w:rsid w:val="000E6C84"/>
    <w:rsid w:val="000E739A"/>
    <w:rsid w:val="000E7410"/>
    <w:rsid w:val="000E761B"/>
    <w:rsid w:val="000E7E25"/>
    <w:rsid w:val="000E7F7C"/>
    <w:rsid w:val="000F0C98"/>
    <w:rsid w:val="000F122B"/>
    <w:rsid w:val="000F22BC"/>
    <w:rsid w:val="000F2402"/>
    <w:rsid w:val="000F2DE2"/>
    <w:rsid w:val="000F38B8"/>
    <w:rsid w:val="000F3AD3"/>
    <w:rsid w:val="000F3E35"/>
    <w:rsid w:val="000F4EF1"/>
    <w:rsid w:val="000F5339"/>
    <w:rsid w:val="000F5724"/>
    <w:rsid w:val="000F5C76"/>
    <w:rsid w:val="000F660E"/>
    <w:rsid w:val="000F7E49"/>
    <w:rsid w:val="00101E20"/>
    <w:rsid w:val="001037C9"/>
    <w:rsid w:val="001046FC"/>
    <w:rsid w:val="00104980"/>
    <w:rsid w:val="00104C50"/>
    <w:rsid w:val="001050C2"/>
    <w:rsid w:val="001053FD"/>
    <w:rsid w:val="00105AC6"/>
    <w:rsid w:val="00105ED7"/>
    <w:rsid w:val="00105F40"/>
    <w:rsid w:val="001061EE"/>
    <w:rsid w:val="00106ED1"/>
    <w:rsid w:val="0010707F"/>
    <w:rsid w:val="00107647"/>
    <w:rsid w:val="00107EE4"/>
    <w:rsid w:val="00110BC6"/>
    <w:rsid w:val="00110BDB"/>
    <w:rsid w:val="001122D6"/>
    <w:rsid w:val="00112954"/>
    <w:rsid w:val="00112BE3"/>
    <w:rsid w:val="001130E8"/>
    <w:rsid w:val="00115711"/>
    <w:rsid w:val="00115AFB"/>
    <w:rsid w:val="001160E1"/>
    <w:rsid w:val="00116F87"/>
    <w:rsid w:val="00117852"/>
    <w:rsid w:val="00122164"/>
    <w:rsid w:val="00122762"/>
    <w:rsid w:val="0012424F"/>
    <w:rsid w:val="00124582"/>
    <w:rsid w:val="00124D54"/>
    <w:rsid w:val="00124DE8"/>
    <w:rsid w:val="0012543F"/>
    <w:rsid w:val="00125791"/>
    <w:rsid w:val="00125FDE"/>
    <w:rsid w:val="001262B8"/>
    <w:rsid w:val="00126EF2"/>
    <w:rsid w:val="00126EF9"/>
    <w:rsid w:val="001304C0"/>
    <w:rsid w:val="00130F90"/>
    <w:rsid w:val="00131907"/>
    <w:rsid w:val="001337C5"/>
    <w:rsid w:val="00133EBB"/>
    <w:rsid w:val="00134BDF"/>
    <w:rsid w:val="001351C4"/>
    <w:rsid w:val="001353B9"/>
    <w:rsid w:val="001355E7"/>
    <w:rsid w:val="001357B4"/>
    <w:rsid w:val="001357E4"/>
    <w:rsid w:val="001361EA"/>
    <w:rsid w:val="00136A29"/>
    <w:rsid w:val="00137262"/>
    <w:rsid w:val="001372E3"/>
    <w:rsid w:val="0013776F"/>
    <w:rsid w:val="00137CBC"/>
    <w:rsid w:val="00137DAB"/>
    <w:rsid w:val="00137DE0"/>
    <w:rsid w:val="001400A8"/>
    <w:rsid w:val="00140644"/>
    <w:rsid w:val="00140DD2"/>
    <w:rsid w:val="00141AB7"/>
    <w:rsid w:val="00141C36"/>
    <w:rsid w:val="00142221"/>
    <w:rsid w:val="0014256A"/>
    <w:rsid w:val="00142941"/>
    <w:rsid w:val="001429B8"/>
    <w:rsid w:val="001429CD"/>
    <w:rsid w:val="00144E81"/>
    <w:rsid w:val="00145436"/>
    <w:rsid w:val="001460AB"/>
    <w:rsid w:val="00146186"/>
    <w:rsid w:val="00146C3B"/>
    <w:rsid w:val="00146F0A"/>
    <w:rsid w:val="00146FC0"/>
    <w:rsid w:val="0014788C"/>
    <w:rsid w:val="001479D4"/>
    <w:rsid w:val="0015087C"/>
    <w:rsid w:val="00150CB5"/>
    <w:rsid w:val="00150D86"/>
    <w:rsid w:val="00151529"/>
    <w:rsid w:val="0015193C"/>
    <w:rsid w:val="00151B10"/>
    <w:rsid w:val="0015213C"/>
    <w:rsid w:val="001521B9"/>
    <w:rsid w:val="0015276A"/>
    <w:rsid w:val="001537C6"/>
    <w:rsid w:val="00153B96"/>
    <w:rsid w:val="0015539B"/>
    <w:rsid w:val="001568E8"/>
    <w:rsid w:val="00156AB5"/>
    <w:rsid w:val="00156AD6"/>
    <w:rsid w:val="00156D9E"/>
    <w:rsid w:val="00157903"/>
    <w:rsid w:val="001579AF"/>
    <w:rsid w:val="00162154"/>
    <w:rsid w:val="00162275"/>
    <w:rsid w:val="00164B58"/>
    <w:rsid w:val="0016530E"/>
    <w:rsid w:val="0016541E"/>
    <w:rsid w:val="001658C6"/>
    <w:rsid w:val="00165D89"/>
    <w:rsid w:val="00166342"/>
    <w:rsid w:val="00166EBB"/>
    <w:rsid w:val="00167448"/>
    <w:rsid w:val="001677FD"/>
    <w:rsid w:val="001678E2"/>
    <w:rsid w:val="00167EB3"/>
    <w:rsid w:val="00167FE0"/>
    <w:rsid w:val="001708F4"/>
    <w:rsid w:val="00170A40"/>
    <w:rsid w:val="00170A66"/>
    <w:rsid w:val="00173583"/>
    <w:rsid w:val="00174103"/>
    <w:rsid w:val="0017460F"/>
    <w:rsid w:val="001757D4"/>
    <w:rsid w:val="00175BED"/>
    <w:rsid w:val="00176232"/>
    <w:rsid w:val="00176A75"/>
    <w:rsid w:val="0017705E"/>
    <w:rsid w:val="001777B5"/>
    <w:rsid w:val="001814B3"/>
    <w:rsid w:val="00181EF6"/>
    <w:rsid w:val="001823BC"/>
    <w:rsid w:val="00182E9B"/>
    <w:rsid w:val="001831AD"/>
    <w:rsid w:val="001838F5"/>
    <w:rsid w:val="00183980"/>
    <w:rsid w:val="00183D7D"/>
    <w:rsid w:val="00183E93"/>
    <w:rsid w:val="00184189"/>
    <w:rsid w:val="0018440B"/>
    <w:rsid w:val="0018591E"/>
    <w:rsid w:val="00185ADC"/>
    <w:rsid w:val="00185F59"/>
    <w:rsid w:val="00186187"/>
    <w:rsid w:val="0018689B"/>
    <w:rsid w:val="00186C73"/>
    <w:rsid w:val="001872A3"/>
    <w:rsid w:val="00187D25"/>
    <w:rsid w:val="00190222"/>
    <w:rsid w:val="00190510"/>
    <w:rsid w:val="00190A6C"/>
    <w:rsid w:val="00191105"/>
    <w:rsid w:val="00191652"/>
    <w:rsid w:val="00191CD6"/>
    <w:rsid w:val="00191DA6"/>
    <w:rsid w:val="00191FE6"/>
    <w:rsid w:val="001927BE"/>
    <w:rsid w:val="001953CE"/>
    <w:rsid w:val="001955DD"/>
    <w:rsid w:val="001977CE"/>
    <w:rsid w:val="00197844"/>
    <w:rsid w:val="00197938"/>
    <w:rsid w:val="00197E4E"/>
    <w:rsid w:val="001A07A7"/>
    <w:rsid w:val="001A0CE7"/>
    <w:rsid w:val="001A1549"/>
    <w:rsid w:val="001A1637"/>
    <w:rsid w:val="001A1DA0"/>
    <w:rsid w:val="001A233C"/>
    <w:rsid w:val="001A27C8"/>
    <w:rsid w:val="001A2ED0"/>
    <w:rsid w:val="001A3144"/>
    <w:rsid w:val="001A3354"/>
    <w:rsid w:val="001A3C29"/>
    <w:rsid w:val="001A482E"/>
    <w:rsid w:val="001A4DDA"/>
    <w:rsid w:val="001A5517"/>
    <w:rsid w:val="001A5891"/>
    <w:rsid w:val="001A5EC3"/>
    <w:rsid w:val="001A60A7"/>
    <w:rsid w:val="001A7733"/>
    <w:rsid w:val="001A7DE4"/>
    <w:rsid w:val="001B1BD8"/>
    <w:rsid w:val="001B22CD"/>
    <w:rsid w:val="001B36D2"/>
    <w:rsid w:val="001B427C"/>
    <w:rsid w:val="001B4F86"/>
    <w:rsid w:val="001B660D"/>
    <w:rsid w:val="001B6B24"/>
    <w:rsid w:val="001B712B"/>
    <w:rsid w:val="001B7AB7"/>
    <w:rsid w:val="001C0F27"/>
    <w:rsid w:val="001C139F"/>
    <w:rsid w:val="001C1915"/>
    <w:rsid w:val="001C1A9D"/>
    <w:rsid w:val="001C2603"/>
    <w:rsid w:val="001C2FE3"/>
    <w:rsid w:val="001C35CF"/>
    <w:rsid w:val="001C4521"/>
    <w:rsid w:val="001C467B"/>
    <w:rsid w:val="001C4DEB"/>
    <w:rsid w:val="001C5CD6"/>
    <w:rsid w:val="001C5D0F"/>
    <w:rsid w:val="001C5D22"/>
    <w:rsid w:val="001C5FB8"/>
    <w:rsid w:val="001C6185"/>
    <w:rsid w:val="001C70DC"/>
    <w:rsid w:val="001C70F1"/>
    <w:rsid w:val="001C7EAD"/>
    <w:rsid w:val="001D00F1"/>
    <w:rsid w:val="001D0E78"/>
    <w:rsid w:val="001D16F8"/>
    <w:rsid w:val="001D1734"/>
    <w:rsid w:val="001D1A76"/>
    <w:rsid w:val="001D219D"/>
    <w:rsid w:val="001D3172"/>
    <w:rsid w:val="001D4AD9"/>
    <w:rsid w:val="001D532B"/>
    <w:rsid w:val="001D71AF"/>
    <w:rsid w:val="001E1648"/>
    <w:rsid w:val="001E1B0A"/>
    <w:rsid w:val="001E1E6F"/>
    <w:rsid w:val="001E200C"/>
    <w:rsid w:val="001E285C"/>
    <w:rsid w:val="001E31C6"/>
    <w:rsid w:val="001E3CA7"/>
    <w:rsid w:val="001E4FB7"/>
    <w:rsid w:val="001E60D5"/>
    <w:rsid w:val="001E6607"/>
    <w:rsid w:val="001E6646"/>
    <w:rsid w:val="001E6848"/>
    <w:rsid w:val="001E68B9"/>
    <w:rsid w:val="001E72E5"/>
    <w:rsid w:val="001E7F61"/>
    <w:rsid w:val="001F0E48"/>
    <w:rsid w:val="001F0ED3"/>
    <w:rsid w:val="001F2272"/>
    <w:rsid w:val="001F2585"/>
    <w:rsid w:val="001F2E86"/>
    <w:rsid w:val="001F31EF"/>
    <w:rsid w:val="001F3B4F"/>
    <w:rsid w:val="001F46AE"/>
    <w:rsid w:val="001F5516"/>
    <w:rsid w:val="001F5CA2"/>
    <w:rsid w:val="001F6909"/>
    <w:rsid w:val="002005EF"/>
    <w:rsid w:val="0020229B"/>
    <w:rsid w:val="00203B49"/>
    <w:rsid w:val="00204278"/>
    <w:rsid w:val="0020498B"/>
    <w:rsid w:val="00204DA4"/>
    <w:rsid w:val="00204F85"/>
    <w:rsid w:val="0020560A"/>
    <w:rsid w:val="00206EB7"/>
    <w:rsid w:val="002116F4"/>
    <w:rsid w:val="00211842"/>
    <w:rsid w:val="00212410"/>
    <w:rsid w:val="00213A09"/>
    <w:rsid w:val="00214040"/>
    <w:rsid w:val="0021522E"/>
    <w:rsid w:val="002158CF"/>
    <w:rsid w:val="00215C57"/>
    <w:rsid w:val="002160A1"/>
    <w:rsid w:val="0021712F"/>
    <w:rsid w:val="00217B63"/>
    <w:rsid w:val="00217F81"/>
    <w:rsid w:val="00217F90"/>
    <w:rsid w:val="002203BB"/>
    <w:rsid w:val="00220733"/>
    <w:rsid w:val="002238AA"/>
    <w:rsid w:val="0022451F"/>
    <w:rsid w:val="00224625"/>
    <w:rsid w:val="002248B7"/>
    <w:rsid w:val="00226B05"/>
    <w:rsid w:val="00226BB6"/>
    <w:rsid w:val="00226EEF"/>
    <w:rsid w:val="002275B7"/>
    <w:rsid w:val="002276FC"/>
    <w:rsid w:val="00227B59"/>
    <w:rsid w:val="00227FBD"/>
    <w:rsid w:val="00230B7D"/>
    <w:rsid w:val="00231F63"/>
    <w:rsid w:val="00232030"/>
    <w:rsid w:val="00232116"/>
    <w:rsid w:val="002327A6"/>
    <w:rsid w:val="00233576"/>
    <w:rsid w:val="002335A4"/>
    <w:rsid w:val="002347AA"/>
    <w:rsid w:val="00235D4F"/>
    <w:rsid w:val="00235D78"/>
    <w:rsid w:val="00236D74"/>
    <w:rsid w:val="00236EFF"/>
    <w:rsid w:val="00236F7A"/>
    <w:rsid w:val="0023723C"/>
    <w:rsid w:val="002375B2"/>
    <w:rsid w:val="002376D3"/>
    <w:rsid w:val="00237C32"/>
    <w:rsid w:val="00237C74"/>
    <w:rsid w:val="002404DB"/>
    <w:rsid w:val="00240EBE"/>
    <w:rsid w:val="00241465"/>
    <w:rsid w:val="00241D58"/>
    <w:rsid w:val="002423E8"/>
    <w:rsid w:val="002427DE"/>
    <w:rsid w:val="0024281C"/>
    <w:rsid w:val="0024327D"/>
    <w:rsid w:val="002440A3"/>
    <w:rsid w:val="002444A1"/>
    <w:rsid w:val="0024499D"/>
    <w:rsid w:val="00245E73"/>
    <w:rsid w:val="0024680E"/>
    <w:rsid w:val="002470E2"/>
    <w:rsid w:val="00247332"/>
    <w:rsid w:val="0024766F"/>
    <w:rsid w:val="00247C49"/>
    <w:rsid w:val="00247DCD"/>
    <w:rsid w:val="002507B9"/>
    <w:rsid w:val="00250890"/>
    <w:rsid w:val="002518C2"/>
    <w:rsid w:val="00252BD0"/>
    <w:rsid w:val="0025369A"/>
    <w:rsid w:val="00254712"/>
    <w:rsid w:val="00254A08"/>
    <w:rsid w:val="00254D99"/>
    <w:rsid w:val="00255428"/>
    <w:rsid w:val="00255527"/>
    <w:rsid w:val="00256E88"/>
    <w:rsid w:val="00257921"/>
    <w:rsid w:val="00260067"/>
    <w:rsid w:val="00260070"/>
    <w:rsid w:val="00260FD0"/>
    <w:rsid w:val="002615BD"/>
    <w:rsid w:val="00261A3C"/>
    <w:rsid w:val="00262727"/>
    <w:rsid w:val="00263688"/>
    <w:rsid w:val="0026510B"/>
    <w:rsid w:val="00265573"/>
    <w:rsid w:val="0026579B"/>
    <w:rsid w:val="00265EF3"/>
    <w:rsid w:val="0026660D"/>
    <w:rsid w:val="00266BE4"/>
    <w:rsid w:val="00267119"/>
    <w:rsid w:val="002671AE"/>
    <w:rsid w:val="00267438"/>
    <w:rsid w:val="00267A4B"/>
    <w:rsid w:val="0027089D"/>
    <w:rsid w:val="00270A0F"/>
    <w:rsid w:val="00270BC8"/>
    <w:rsid w:val="0027175E"/>
    <w:rsid w:val="00272677"/>
    <w:rsid w:val="00272868"/>
    <w:rsid w:val="00273BC3"/>
    <w:rsid w:val="00273FC4"/>
    <w:rsid w:val="00274498"/>
    <w:rsid w:val="00274CDE"/>
    <w:rsid w:val="00275127"/>
    <w:rsid w:val="00275486"/>
    <w:rsid w:val="002758C9"/>
    <w:rsid w:val="00276A07"/>
    <w:rsid w:val="00276C68"/>
    <w:rsid w:val="0027721D"/>
    <w:rsid w:val="00277423"/>
    <w:rsid w:val="002774DD"/>
    <w:rsid w:val="0028049D"/>
    <w:rsid w:val="00280D95"/>
    <w:rsid w:val="00281072"/>
    <w:rsid w:val="00281110"/>
    <w:rsid w:val="00281C5C"/>
    <w:rsid w:val="00282D8A"/>
    <w:rsid w:val="00282FF2"/>
    <w:rsid w:val="002833D8"/>
    <w:rsid w:val="00283C59"/>
    <w:rsid w:val="002842AE"/>
    <w:rsid w:val="002844E4"/>
    <w:rsid w:val="002848AA"/>
    <w:rsid w:val="00285091"/>
    <w:rsid w:val="002853AB"/>
    <w:rsid w:val="00285543"/>
    <w:rsid w:val="00285788"/>
    <w:rsid w:val="0028614F"/>
    <w:rsid w:val="00287126"/>
    <w:rsid w:val="00287524"/>
    <w:rsid w:val="00287716"/>
    <w:rsid w:val="00287AFE"/>
    <w:rsid w:val="00287F1F"/>
    <w:rsid w:val="002901B8"/>
    <w:rsid w:val="002916B2"/>
    <w:rsid w:val="00291FFA"/>
    <w:rsid w:val="002922CE"/>
    <w:rsid w:val="00292779"/>
    <w:rsid w:val="002928D9"/>
    <w:rsid w:val="00292B29"/>
    <w:rsid w:val="00292CE4"/>
    <w:rsid w:val="00293883"/>
    <w:rsid w:val="0029418B"/>
    <w:rsid w:val="00295726"/>
    <w:rsid w:val="00295CCB"/>
    <w:rsid w:val="00296C90"/>
    <w:rsid w:val="00297254"/>
    <w:rsid w:val="00297709"/>
    <w:rsid w:val="002A013D"/>
    <w:rsid w:val="002A04D1"/>
    <w:rsid w:val="002A1504"/>
    <w:rsid w:val="002A355D"/>
    <w:rsid w:val="002A37C2"/>
    <w:rsid w:val="002A3883"/>
    <w:rsid w:val="002A3B3C"/>
    <w:rsid w:val="002A3DAD"/>
    <w:rsid w:val="002A4634"/>
    <w:rsid w:val="002A56D3"/>
    <w:rsid w:val="002A5ACA"/>
    <w:rsid w:val="002A5E14"/>
    <w:rsid w:val="002A5F05"/>
    <w:rsid w:val="002A60C2"/>
    <w:rsid w:val="002A7087"/>
    <w:rsid w:val="002A7B3D"/>
    <w:rsid w:val="002B16CE"/>
    <w:rsid w:val="002B20A6"/>
    <w:rsid w:val="002B2601"/>
    <w:rsid w:val="002B2936"/>
    <w:rsid w:val="002B2E5A"/>
    <w:rsid w:val="002B336F"/>
    <w:rsid w:val="002B478B"/>
    <w:rsid w:val="002B4DA2"/>
    <w:rsid w:val="002B5279"/>
    <w:rsid w:val="002B5991"/>
    <w:rsid w:val="002B63BA"/>
    <w:rsid w:val="002B66B2"/>
    <w:rsid w:val="002B71DF"/>
    <w:rsid w:val="002B78EB"/>
    <w:rsid w:val="002C0361"/>
    <w:rsid w:val="002C04D7"/>
    <w:rsid w:val="002C0A68"/>
    <w:rsid w:val="002C0A76"/>
    <w:rsid w:val="002C14AF"/>
    <w:rsid w:val="002C1CEA"/>
    <w:rsid w:val="002C2966"/>
    <w:rsid w:val="002C2BCD"/>
    <w:rsid w:val="002C3113"/>
    <w:rsid w:val="002C36E7"/>
    <w:rsid w:val="002C44FF"/>
    <w:rsid w:val="002C458A"/>
    <w:rsid w:val="002C51C5"/>
    <w:rsid w:val="002C55D6"/>
    <w:rsid w:val="002C69E3"/>
    <w:rsid w:val="002C6F56"/>
    <w:rsid w:val="002C7345"/>
    <w:rsid w:val="002C74F9"/>
    <w:rsid w:val="002C7A26"/>
    <w:rsid w:val="002D00EE"/>
    <w:rsid w:val="002D0251"/>
    <w:rsid w:val="002D0BFE"/>
    <w:rsid w:val="002D2054"/>
    <w:rsid w:val="002D251F"/>
    <w:rsid w:val="002D2973"/>
    <w:rsid w:val="002D36BD"/>
    <w:rsid w:val="002D3C37"/>
    <w:rsid w:val="002D3E00"/>
    <w:rsid w:val="002D447E"/>
    <w:rsid w:val="002D4ABD"/>
    <w:rsid w:val="002D5031"/>
    <w:rsid w:val="002D506D"/>
    <w:rsid w:val="002D59F6"/>
    <w:rsid w:val="002D6069"/>
    <w:rsid w:val="002D6A6A"/>
    <w:rsid w:val="002D6AD6"/>
    <w:rsid w:val="002D6BE8"/>
    <w:rsid w:val="002D6EB9"/>
    <w:rsid w:val="002D6FE1"/>
    <w:rsid w:val="002D7857"/>
    <w:rsid w:val="002D7A2A"/>
    <w:rsid w:val="002E066B"/>
    <w:rsid w:val="002E180B"/>
    <w:rsid w:val="002E1869"/>
    <w:rsid w:val="002E195E"/>
    <w:rsid w:val="002E1E81"/>
    <w:rsid w:val="002E26E9"/>
    <w:rsid w:val="002E2759"/>
    <w:rsid w:val="002E2CE6"/>
    <w:rsid w:val="002E2CEF"/>
    <w:rsid w:val="002E2FD4"/>
    <w:rsid w:val="002E332F"/>
    <w:rsid w:val="002E475C"/>
    <w:rsid w:val="002E5AED"/>
    <w:rsid w:val="002E6EFE"/>
    <w:rsid w:val="002E782C"/>
    <w:rsid w:val="002F0184"/>
    <w:rsid w:val="002F07BE"/>
    <w:rsid w:val="002F0A8B"/>
    <w:rsid w:val="002F133C"/>
    <w:rsid w:val="002F24F0"/>
    <w:rsid w:val="002F254B"/>
    <w:rsid w:val="002F316B"/>
    <w:rsid w:val="002F484A"/>
    <w:rsid w:val="002F5E62"/>
    <w:rsid w:val="002F6391"/>
    <w:rsid w:val="002F6773"/>
    <w:rsid w:val="002F7267"/>
    <w:rsid w:val="003000E8"/>
    <w:rsid w:val="0030084A"/>
    <w:rsid w:val="00300A0A"/>
    <w:rsid w:val="0030186D"/>
    <w:rsid w:val="00301B57"/>
    <w:rsid w:val="00302658"/>
    <w:rsid w:val="00302B6A"/>
    <w:rsid w:val="003042D4"/>
    <w:rsid w:val="0030430D"/>
    <w:rsid w:val="00304496"/>
    <w:rsid w:val="00304BD3"/>
    <w:rsid w:val="00306401"/>
    <w:rsid w:val="00306CFC"/>
    <w:rsid w:val="00307012"/>
    <w:rsid w:val="00307817"/>
    <w:rsid w:val="003078F5"/>
    <w:rsid w:val="00307B8C"/>
    <w:rsid w:val="00310050"/>
    <w:rsid w:val="0031017D"/>
    <w:rsid w:val="00310ACA"/>
    <w:rsid w:val="003117BA"/>
    <w:rsid w:val="0031268D"/>
    <w:rsid w:val="0031294B"/>
    <w:rsid w:val="003138BD"/>
    <w:rsid w:val="003147ED"/>
    <w:rsid w:val="0031494B"/>
    <w:rsid w:val="00314FE0"/>
    <w:rsid w:val="003152E8"/>
    <w:rsid w:val="00315447"/>
    <w:rsid w:val="00315994"/>
    <w:rsid w:val="00316912"/>
    <w:rsid w:val="00316A11"/>
    <w:rsid w:val="00317251"/>
    <w:rsid w:val="00317510"/>
    <w:rsid w:val="003200BD"/>
    <w:rsid w:val="003206C0"/>
    <w:rsid w:val="003210B5"/>
    <w:rsid w:val="00321ADF"/>
    <w:rsid w:val="003233D6"/>
    <w:rsid w:val="0032362F"/>
    <w:rsid w:val="00323902"/>
    <w:rsid w:val="0032397E"/>
    <w:rsid w:val="00325275"/>
    <w:rsid w:val="00326699"/>
    <w:rsid w:val="003270BE"/>
    <w:rsid w:val="00327332"/>
    <w:rsid w:val="00327EB3"/>
    <w:rsid w:val="00330BBC"/>
    <w:rsid w:val="00330C08"/>
    <w:rsid w:val="00331771"/>
    <w:rsid w:val="00331B44"/>
    <w:rsid w:val="00331E02"/>
    <w:rsid w:val="00332380"/>
    <w:rsid w:val="003326AD"/>
    <w:rsid w:val="00333586"/>
    <w:rsid w:val="003336C1"/>
    <w:rsid w:val="0033379F"/>
    <w:rsid w:val="003338DF"/>
    <w:rsid w:val="0033408C"/>
    <w:rsid w:val="00335A94"/>
    <w:rsid w:val="003370F7"/>
    <w:rsid w:val="00337A9A"/>
    <w:rsid w:val="00337F9A"/>
    <w:rsid w:val="00340430"/>
    <w:rsid w:val="003405ED"/>
    <w:rsid w:val="0034097B"/>
    <w:rsid w:val="00340AD1"/>
    <w:rsid w:val="00340D21"/>
    <w:rsid w:val="00340E48"/>
    <w:rsid w:val="003416C6"/>
    <w:rsid w:val="00341B3B"/>
    <w:rsid w:val="00341D32"/>
    <w:rsid w:val="0034373A"/>
    <w:rsid w:val="00343E8F"/>
    <w:rsid w:val="00346373"/>
    <w:rsid w:val="00347F09"/>
    <w:rsid w:val="003501BE"/>
    <w:rsid w:val="00350DDC"/>
    <w:rsid w:val="003518E8"/>
    <w:rsid w:val="00352FAA"/>
    <w:rsid w:val="003536B0"/>
    <w:rsid w:val="0035547F"/>
    <w:rsid w:val="003571B4"/>
    <w:rsid w:val="003575DC"/>
    <w:rsid w:val="00360031"/>
    <w:rsid w:val="003605CF"/>
    <w:rsid w:val="003607B9"/>
    <w:rsid w:val="00361694"/>
    <w:rsid w:val="00361DF9"/>
    <w:rsid w:val="00361F8A"/>
    <w:rsid w:val="0036204C"/>
    <w:rsid w:val="00362751"/>
    <w:rsid w:val="00362772"/>
    <w:rsid w:val="00363964"/>
    <w:rsid w:val="003640BF"/>
    <w:rsid w:val="00364333"/>
    <w:rsid w:val="003648CD"/>
    <w:rsid w:val="00364D1C"/>
    <w:rsid w:val="00364DA5"/>
    <w:rsid w:val="003654DB"/>
    <w:rsid w:val="0036564F"/>
    <w:rsid w:val="00366428"/>
    <w:rsid w:val="00366980"/>
    <w:rsid w:val="00366D53"/>
    <w:rsid w:val="003671B6"/>
    <w:rsid w:val="0036789D"/>
    <w:rsid w:val="003679F1"/>
    <w:rsid w:val="003708B4"/>
    <w:rsid w:val="00370E59"/>
    <w:rsid w:val="00371736"/>
    <w:rsid w:val="00371C00"/>
    <w:rsid w:val="00372671"/>
    <w:rsid w:val="00372D11"/>
    <w:rsid w:val="00372E4E"/>
    <w:rsid w:val="003731E1"/>
    <w:rsid w:val="003732D1"/>
    <w:rsid w:val="00373CE0"/>
    <w:rsid w:val="00374196"/>
    <w:rsid w:val="00374C53"/>
    <w:rsid w:val="00375A2D"/>
    <w:rsid w:val="00375A39"/>
    <w:rsid w:val="00375CAB"/>
    <w:rsid w:val="0037698F"/>
    <w:rsid w:val="00376EFA"/>
    <w:rsid w:val="00377BD8"/>
    <w:rsid w:val="00377EB8"/>
    <w:rsid w:val="003809E9"/>
    <w:rsid w:val="00380C3D"/>
    <w:rsid w:val="00380D2A"/>
    <w:rsid w:val="0038113D"/>
    <w:rsid w:val="0038132E"/>
    <w:rsid w:val="0038232F"/>
    <w:rsid w:val="00382B1A"/>
    <w:rsid w:val="003831C1"/>
    <w:rsid w:val="003832D8"/>
    <w:rsid w:val="003839CF"/>
    <w:rsid w:val="00383B78"/>
    <w:rsid w:val="00383B8B"/>
    <w:rsid w:val="00384185"/>
    <w:rsid w:val="00384585"/>
    <w:rsid w:val="00384AA1"/>
    <w:rsid w:val="00385004"/>
    <w:rsid w:val="00385668"/>
    <w:rsid w:val="003857FA"/>
    <w:rsid w:val="003858AD"/>
    <w:rsid w:val="00386413"/>
    <w:rsid w:val="0038750A"/>
    <w:rsid w:val="003902B8"/>
    <w:rsid w:val="00390CE0"/>
    <w:rsid w:val="00391C68"/>
    <w:rsid w:val="003920BF"/>
    <w:rsid w:val="00392BEC"/>
    <w:rsid w:val="0039358B"/>
    <w:rsid w:val="0039391F"/>
    <w:rsid w:val="0039571A"/>
    <w:rsid w:val="003961BA"/>
    <w:rsid w:val="00396A5B"/>
    <w:rsid w:val="00397571"/>
    <w:rsid w:val="0039768B"/>
    <w:rsid w:val="003A1A52"/>
    <w:rsid w:val="003A226B"/>
    <w:rsid w:val="003A2770"/>
    <w:rsid w:val="003A313B"/>
    <w:rsid w:val="003A386D"/>
    <w:rsid w:val="003A534F"/>
    <w:rsid w:val="003A6088"/>
    <w:rsid w:val="003A67B8"/>
    <w:rsid w:val="003A6BFE"/>
    <w:rsid w:val="003A6D15"/>
    <w:rsid w:val="003A7196"/>
    <w:rsid w:val="003A7E3F"/>
    <w:rsid w:val="003B06B3"/>
    <w:rsid w:val="003B0FB5"/>
    <w:rsid w:val="003B130A"/>
    <w:rsid w:val="003B1541"/>
    <w:rsid w:val="003B19EE"/>
    <w:rsid w:val="003B203B"/>
    <w:rsid w:val="003B222F"/>
    <w:rsid w:val="003B4AC2"/>
    <w:rsid w:val="003B54FE"/>
    <w:rsid w:val="003B55AE"/>
    <w:rsid w:val="003B572C"/>
    <w:rsid w:val="003B5F08"/>
    <w:rsid w:val="003B5FC2"/>
    <w:rsid w:val="003B6496"/>
    <w:rsid w:val="003B6987"/>
    <w:rsid w:val="003B7255"/>
    <w:rsid w:val="003C03DA"/>
    <w:rsid w:val="003C0848"/>
    <w:rsid w:val="003C0B56"/>
    <w:rsid w:val="003C10C5"/>
    <w:rsid w:val="003C115C"/>
    <w:rsid w:val="003C1907"/>
    <w:rsid w:val="003C192E"/>
    <w:rsid w:val="003C1DEB"/>
    <w:rsid w:val="003C248B"/>
    <w:rsid w:val="003C2B99"/>
    <w:rsid w:val="003C5103"/>
    <w:rsid w:val="003C5908"/>
    <w:rsid w:val="003C6117"/>
    <w:rsid w:val="003C65BD"/>
    <w:rsid w:val="003C696E"/>
    <w:rsid w:val="003C6979"/>
    <w:rsid w:val="003C7518"/>
    <w:rsid w:val="003D0EA6"/>
    <w:rsid w:val="003D18F2"/>
    <w:rsid w:val="003D21A0"/>
    <w:rsid w:val="003D2752"/>
    <w:rsid w:val="003D2A14"/>
    <w:rsid w:val="003D315D"/>
    <w:rsid w:val="003D37DB"/>
    <w:rsid w:val="003D3A7E"/>
    <w:rsid w:val="003D3B2C"/>
    <w:rsid w:val="003D475B"/>
    <w:rsid w:val="003D656B"/>
    <w:rsid w:val="003D6706"/>
    <w:rsid w:val="003D67D2"/>
    <w:rsid w:val="003D6BE9"/>
    <w:rsid w:val="003D79C9"/>
    <w:rsid w:val="003E0198"/>
    <w:rsid w:val="003E1B4B"/>
    <w:rsid w:val="003E1D31"/>
    <w:rsid w:val="003E1FFA"/>
    <w:rsid w:val="003E381B"/>
    <w:rsid w:val="003E481A"/>
    <w:rsid w:val="003E5162"/>
    <w:rsid w:val="003E55F7"/>
    <w:rsid w:val="003E5E51"/>
    <w:rsid w:val="003F0371"/>
    <w:rsid w:val="003F0415"/>
    <w:rsid w:val="003F0B51"/>
    <w:rsid w:val="003F0D15"/>
    <w:rsid w:val="003F1C23"/>
    <w:rsid w:val="003F1FA2"/>
    <w:rsid w:val="003F29E9"/>
    <w:rsid w:val="003F2C74"/>
    <w:rsid w:val="003F326C"/>
    <w:rsid w:val="003F328E"/>
    <w:rsid w:val="003F37A5"/>
    <w:rsid w:val="003F534C"/>
    <w:rsid w:val="003F57EE"/>
    <w:rsid w:val="003F5CED"/>
    <w:rsid w:val="003F676F"/>
    <w:rsid w:val="003F6E2B"/>
    <w:rsid w:val="003F7032"/>
    <w:rsid w:val="003F7C3C"/>
    <w:rsid w:val="00400798"/>
    <w:rsid w:val="00401B18"/>
    <w:rsid w:val="00402591"/>
    <w:rsid w:val="0040304B"/>
    <w:rsid w:val="004032C7"/>
    <w:rsid w:val="0040370B"/>
    <w:rsid w:val="00404BC3"/>
    <w:rsid w:val="004056CB"/>
    <w:rsid w:val="00405E68"/>
    <w:rsid w:val="004060F6"/>
    <w:rsid w:val="0040710A"/>
    <w:rsid w:val="00410056"/>
    <w:rsid w:val="004100A5"/>
    <w:rsid w:val="00410688"/>
    <w:rsid w:val="00410D3C"/>
    <w:rsid w:val="00411E98"/>
    <w:rsid w:val="004125BC"/>
    <w:rsid w:val="00413531"/>
    <w:rsid w:val="00414E0C"/>
    <w:rsid w:val="00415069"/>
    <w:rsid w:val="00415195"/>
    <w:rsid w:val="004151A9"/>
    <w:rsid w:val="004159DD"/>
    <w:rsid w:val="00415DC1"/>
    <w:rsid w:val="00416897"/>
    <w:rsid w:val="004205EC"/>
    <w:rsid w:val="004209CE"/>
    <w:rsid w:val="0042141E"/>
    <w:rsid w:val="00421BBF"/>
    <w:rsid w:val="00422562"/>
    <w:rsid w:val="00422D16"/>
    <w:rsid w:val="0042305C"/>
    <w:rsid w:val="00423204"/>
    <w:rsid w:val="00423EBC"/>
    <w:rsid w:val="00424D05"/>
    <w:rsid w:val="00424E82"/>
    <w:rsid w:val="0042545E"/>
    <w:rsid w:val="00425B78"/>
    <w:rsid w:val="00426422"/>
    <w:rsid w:val="00426CDA"/>
    <w:rsid w:val="00426D80"/>
    <w:rsid w:val="00427630"/>
    <w:rsid w:val="00427C83"/>
    <w:rsid w:val="00427DCB"/>
    <w:rsid w:val="00430ED4"/>
    <w:rsid w:val="004319A2"/>
    <w:rsid w:val="00431F3A"/>
    <w:rsid w:val="00432027"/>
    <w:rsid w:val="004320E7"/>
    <w:rsid w:val="00436133"/>
    <w:rsid w:val="00437169"/>
    <w:rsid w:val="004378D0"/>
    <w:rsid w:val="004378F1"/>
    <w:rsid w:val="00437DA9"/>
    <w:rsid w:val="0044006E"/>
    <w:rsid w:val="0044009B"/>
    <w:rsid w:val="004400EB"/>
    <w:rsid w:val="00440B84"/>
    <w:rsid w:val="00440DFC"/>
    <w:rsid w:val="00441951"/>
    <w:rsid w:val="00441A11"/>
    <w:rsid w:val="00442916"/>
    <w:rsid w:val="00443FFC"/>
    <w:rsid w:val="00444067"/>
    <w:rsid w:val="00444DBE"/>
    <w:rsid w:val="00445014"/>
    <w:rsid w:val="00445D10"/>
    <w:rsid w:val="00445D55"/>
    <w:rsid w:val="00445E58"/>
    <w:rsid w:val="004462AB"/>
    <w:rsid w:val="00447EBD"/>
    <w:rsid w:val="004502A2"/>
    <w:rsid w:val="004503F0"/>
    <w:rsid w:val="004506A4"/>
    <w:rsid w:val="00450934"/>
    <w:rsid w:val="00450D1B"/>
    <w:rsid w:val="004516D7"/>
    <w:rsid w:val="00451821"/>
    <w:rsid w:val="00451C10"/>
    <w:rsid w:val="00452049"/>
    <w:rsid w:val="00452698"/>
    <w:rsid w:val="004526DC"/>
    <w:rsid w:val="00452939"/>
    <w:rsid w:val="00452C2B"/>
    <w:rsid w:val="00453731"/>
    <w:rsid w:val="00454CFF"/>
    <w:rsid w:val="004550A7"/>
    <w:rsid w:val="004553C8"/>
    <w:rsid w:val="004561FC"/>
    <w:rsid w:val="004562EC"/>
    <w:rsid w:val="0045664F"/>
    <w:rsid w:val="00456ACA"/>
    <w:rsid w:val="004571EE"/>
    <w:rsid w:val="0045721A"/>
    <w:rsid w:val="0045752C"/>
    <w:rsid w:val="00457FB4"/>
    <w:rsid w:val="00461216"/>
    <w:rsid w:val="00462090"/>
    <w:rsid w:val="004622BC"/>
    <w:rsid w:val="00462322"/>
    <w:rsid w:val="00462BD0"/>
    <w:rsid w:val="00462BF4"/>
    <w:rsid w:val="0046305D"/>
    <w:rsid w:val="0046314C"/>
    <w:rsid w:val="00463966"/>
    <w:rsid w:val="00464548"/>
    <w:rsid w:val="00464899"/>
    <w:rsid w:val="00464CF5"/>
    <w:rsid w:val="0046502F"/>
    <w:rsid w:val="00465105"/>
    <w:rsid w:val="00465E4D"/>
    <w:rsid w:val="00465FB9"/>
    <w:rsid w:val="00466946"/>
    <w:rsid w:val="004669F6"/>
    <w:rsid w:val="00466F71"/>
    <w:rsid w:val="0046781E"/>
    <w:rsid w:val="00467AC6"/>
    <w:rsid w:val="00467F8C"/>
    <w:rsid w:val="00470173"/>
    <w:rsid w:val="00470A1D"/>
    <w:rsid w:val="00470A35"/>
    <w:rsid w:val="00470F32"/>
    <w:rsid w:val="00471293"/>
    <w:rsid w:val="00471C72"/>
    <w:rsid w:val="00471D76"/>
    <w:rsid w:val="00471EC5"/>
    <w:rsid w:val="00473F6D"/>
    <w:rsid w:val="0047506F"/>
    <w:rsid w:val="00475187"/>
    <w:rsid w:val="00475A7B"/>
    <w:rsid w:val="00475BDA"/>
    <w:rsid w:val="00475E3B"/>
    <w:rsid w:val="00476165"/>
    <w:rsid w:val="00476AB8"/>
    <w:rsid w:val="00477C8D"/>
    <w:rsid w:val="00480C7A"/>
    <w:rsid w:val="00480F26"/>
    <w:rsid w:val="00481127"/>
    <w:rsid w:val="00482EE6"/>
    <w:rsid w:val="00483119"/>
    <w:rsid w:val="00483759"/>
    <w:rsid w:val="00484386"/>
    <w:rsid w:val="00484C57"/>
    <w:rsid w:val="0048570C"/>
    <w:rsid w:val="0048643A"/>
    <w:rsid w:val="004868DA"/>
    <w:rsid w:val="0048713B"/>
    <w:rsid w:val="00487F42"/>
    <w:rsid w:val="00490DD6"/>
    <w:rsid w:val="00492F91"/>
    <w:rsid w:val="00493199"/>
    <w:rsid w:val="00493782"/>
    <w:rsid w:val="004938ED"/>
    <w:rsid w:val="00493C67"/>
    <w:rsid w:val="00494544"/>
    <w:rsid w:val="004951BE"/>
    <w:rsid w:val="004955B3"/>
    <w:rsid w:val="004959CB"/>
    <w:rsid w:val="00495AEF"/>
    <w:rsid w:val="00495BF1"/>
    <w:rsid w:val="00495C4A"/>
    <w:rsid w:val="0049661A"/>
    <w:rsid w:val="004973B0"/>
    <w:rsid w:val="00497933"/>
    <w:rsid w:val="004A022C"/>
    <w:rsid w:val="004A062B"/>
    <w:rsid w:val="004A07BC"/>
    <w:rsid w:val="004A17D9"/>
    <w:rsid w:val="004A18A7"/>
    <w:rsid w:val="004A1C97"/>
    <w:rsid w:val="004A1DD0"/>
    <w:rsid w:val="004A1F44"/>
    <w:rsid w:val="004A20AF"/>
    <w:rsid w:val="004A2D2D"/>
    <w:rsid w:val="004A3350"/>
    <w:rsid w:val="004A34B7"/>
    <w:rsid w:val="004A403B"/>
    <w:rsid w:val="004A45B5"/>
    <w:rsid w:val="004A60D7"/>
    <w:rsid w:val="004B0AB5"/>
    <w:rsid w:val="004B0B04"/>
    <w:rsid w:val="004B105F"/>
    <w:rsid w:val="004B1A58"/>
    <w:rsid w:val="004B2021"/>
    <w:rsid w:val="004B375F"/>
    <w:rsid w:val="004B3A5E"/>
    <w:rsid w:val="004B4A2D"/>
    <w:rsid w:val="004B4ED0"/>
    <w:rsid w:val="004B4F7C"/>
    <w:rsid w:val="004B5000"/>
    <w:rsid w:val="004B50E7"/>
    <w:rsid w:val="004B5121"/>
    <w:rsid w:val="004B52D7"/>
    <w:rsid w:val="004B597E"/>
    <w:rsid w:val="004B5D0E"/>
    <w:rsid w:val="004B5D1F"/>
    <w:rsid w:val="004B6804"/>
    <w:rsid w:val="004B6CA2"/>
    <w:rsid w:val="004C1643"/>
    <w:rsid w:val="004C1A76"/>
    <w:rsid w:val="004C1B0B"/>
    <w:rsid w:val="004C2256"/>
    <w:rsid w:val="004C2C23"/>
    <w:rsid w:val="004C2DD7"/>
    <w:rsid w:val="004C3088"/>
    <w:rsid w:val="004C36BA"/>
    <w:rsid w:val="004C42FA"/>
    <w:rsid w:val="004C45C2"/>
    <w:rsid w:val="004C4A3B"/>
    <w:rsid w:val="004C4EDE"/>
    <w:rsid w:val="004C51B3"/>
    <w:rsid w:val="004C5370"/>
    <w:rsid w:val="004C5840"/>
    <w:rsid w:val="004C5882"/>
    <w:rsid w:val="004C5A85"/>
    <w:rsid w:val="004C5E53"/>
    <w:rsid w:val="004C685F"/>
    <w:rsid w:val="004C6E25"/>
    <w:rsid w:val="004C759C"/>
    <w:rsid w:val="004D00B2"/>
    <w:rsid w:val="004D022F"/>
    <w:rsid w:val="004D05D6"/>
    <w:rsid w:val="004D07B6"/>
    <w:rsid w:val="004D0AEA"/>
    <w:rsid w:val="004D1090"/>
    <w:rsid w:val="004D11CE"/>
    <w:rsid w:val="004D1E56"/>
    <w:rsid w:val="004D3800"/>
    <w:rsid w:val="004D3DB4"/>
    <w:rsid w:val="004D3DF3"/>
    <w:rsid w:val="004D489C"/>
    <w:rsid w:val="004D4B89"/>
    <w:rsid w:val="004D582F"/>
    <w:rsid w:val="004D6FB6"/>
    <w:rsid w:val="004D7388"/>
    <w:rsid w:val="004D7C72"/>
    <w:rsid w:val="004E05E0"/>
    <w:rsid w:val="004E0925"/>
    <w:rsid w:val="004E1100"/>
    <w:rsid w:val="004E1622"/>
    <w:rsid w:val="004E1F7D"/>
    <w:rsid w:val="004E2DE7"/>
    <w:rsid w:val="004E3295"/>
    <w:rsid w:val="004E3D0E"/>
    <w:rsid w:val="004E40C2"/>
    <w:rsid w:val="004E4546"/>
    <w:rsid w:val="004E5633"/>
    <w:rsid w:val="004E5A2A"/>
    <w:rsid w:val="004E7976"/>
    <w:rsid w:val="004E7A2D"/>
    <w:rsid w:val="004F1416"/>
    <w:rsid w:val="004F1DD7"/>
    <w:rsid w:val="004F2F5E"/>
    <w:rsid w:val="004F3E4D"/>
    <w:rsid w:val="004F4621"/>
    <w:rsid w:val="004F464F"/>
    <w:rsid w:val="004F4DF3"/>
    <w:rsid w:val="004F50A3"/>
    <w:rsid w:val="004F5565"/>
    <w:rsid w:val="004F577A"/>
    <w:rsid w:val="004F5EC5"/>
    <w:rsid w:val="004F601C"/>
    <w:rsid w:val="00500D17"/>
    <w:rsid w:val="00501620"/>
    <w:rsid w:val="00501B56"/>
    <w:rsid w:val="00501B72"/>
    <w:rsid w:val="0050296F"/>
    <w:rsid w:val="00502ED0"/>
    <w:rsid w:val="005040CB"/>
    <w:rsid w:val="00504658"/>
    <w:rsid w:val="0050556E"/>
    <w:rsid w:val="005073A1"/>
    <w:rsid w:val="00507873"/>
    <w:rsid w:val="00507E6C"/>
    <w:rsid w:val="005102D0"/>
    <w:rsid w:val="00510480"/>
    <w:rsid w:val="00510BF5"/>
    <w:rsid w:val="00510FEB"/>
    <w:rsid w:val="00511CEB"/>
    <w:rsid w:val="00511E1C"/>
    <w:rsid w:val="00512340"/>
    <w:rsid w:val="00512D6F"/>
    <w:rsid w:val="00513028"/>
    <w:rsid w:val="005131DA"/>
    <w:rsid w:val="005133E5"/>
    <w:rsid w:val="00513528"/>
    <w:rsid w:val="00514CBB"/>
    <w:rsid w:val="00514DE2"/>
    <w:rsid w:val="00516FC5"/>
    <w:rsid w:val="005174F9"/>
    <w:rsid w:val="00517841"/>
    <w:rsid w:val="00521854"/>
    <w:rsid w:val="00521A78"/>
    <w:rsid w:val="00521C6A"/>
    <w:rsid w:val="00521D0D"/>
    <w:rsid w:val="00522613"/>
    <w:rsid w:val="00522E5A"/>
    <w:rsid w:val="00523037"/>
    <w:rsid w:val="0052320F"/>
    <w:rsid w:val="00524004"/>
    <w:rsid w:val="00524DEB"/>
    <w:rsid w:val="00525F01"/>
    <w:rsid w:val="00526325"/>
    <w:rsid w:val="00526329"/>
    <w:rsid w:val="00526814"/>
    <w:rsid w:val="00526DBD"/>
    <w:rsid w:val="00527878"/>
    <w:rsid w:val="00530A7B"/>
    <w:rsid w:val="00531A38"/>
    <w:rsid w:val="00531DCC"/>
    <w:rsid w:val="00533377"/>
    <w:rsid w:val="00533A5A"/>
    <w:rsid w:val="00533B7F"/>
    <w:rsid w:val="00533C82"/>
    <w:rsid w:val="005344ED"/>
    <w:rsid w:val="0053456D"/>
    <w:rsid w:val="00535B64"/>
    <w:rsid w:val="005362F3"/>
    <w:rsid w:val="00536324"/>
    <w:rsid w:val="005366F4"/>
    <w:rsid w:val="00536733"/>
    <w:rsid w:val="00536985"/>
    <w:rsid w:val="00536E50"/>
    <w:rsid w:val="005378FA"/>
    <w:rsid w:val="005401A6"/>
    <w:rsid w:val="00540C8A"/>
    <w:rsid w:val="00540F43"/>
    <w:rsid w:val="00542130"/>
    <w:rsid w:val="00542CAF"/>
    <w:rsid w:val="00542CCD"/>
    <w:rsid w:val="005436ED"/>
    <w:rsid w:val="00543F7B"/>
    <w:rsid w:val="00544192"/>
    <w:rsid w:val="00544749"/>
    <w:rsid w:val="005453D6"/>
    <w:rsid w:val="005453DB"/>
    <w:rsid w:val="005453F0"/>
    <w:rsid w:val="005458DC"/>
    <w:rsid w:val="00545CDA"/>
    <w:rsid w:val="00546956"/>
    <w:rsid w:val="00546C1C"/>
    <w:rsid w:val="00546D48"/>
    <w:rsid w:val="00546EF8"/>
    <w:rsid w:val="0054710C"/>
    <w:rsid w:val="00547171"/>
    <w:rsid w:val="00547F67"/>
    <w:rsid w:val="005502EC"/>
    <w:rsid w:val="005514C2"/>
    <w:rsid w:val="00551C1E"/>
    <w:rsid w:val="00552A7A"/>
    <w:rsid w:val="00553A1E"/>
    <w:rsid w:val="00554101"/>
    <w:rsid w:val="00554A44"/>
    <w:rsid w:val="00554FBE"/>
    <w:rsid w:val="00555844"/>
    <w:rsid w:val="00555EE3"/>
    <w:rsid w:val="00555FB7"/>
    <w:rsid w:val="005561AF"/>
    <w:rsid w:val="00556752"/>
    <w:rsid w:val="00556B68"/>
    <w:rsid w:val="00557AB2"/>
    <w:rsid w:val="00557F98"/>
    <w:rsid w:val="00561519"/>
    <w:rsid w:val="005622F4"/>
    <w:rsid w:val="00563578"/>
    <w:rsid w:val="00564F06"/>
    <w:rsid w:val="00566335"/>
    <w:rsid w:val="00566D7F"/>
    <w:rsid w:val="0057021A"/>
    <w:rsid w:val="005707AD"/>
    <w:rsid w:val="0057251C"/>
    <w:rsid w:val="00573432"/>
    <w:rsid w:val="0057411A"/>
    <w:rsid w:val="005741B0"/>
    <w:rsid w:val="00575A72"/>
    <w:rsid w:val="00576362"/>
    <w:rsid w:val="00576930"/>
    <w:rsid w:val="00576F19"/>
    <w:rsid w:val="00577542"/>
    <w:rsid w:val="00577FE5"/>
    <w:rsid w:val="00581867"/>
    <w:rsid w:val="00581CEC"/>
    <w:rsid w:val="005827F2"/>
    <w:rsid w:val="00582EF1"/>
    <w:rsid w:val="00582F0C"/>
    <w:rsid w:val="00583175"/>
    <w:rsid w:val="0058370E"/>
    <w:rsid w:val="005839EB"/>
    <w:rsid w:val="00585A9C"/>
    <w:rsid w:val="00586742"/>
    <w:rsid w:val="00586A18"/>
    <w:rsid w:val="00587089"/>
    <w:rsid w:val="0058758D"/>
    <w:rsid w:val="00587DCA"/>
    <w:rsid w:val="00587FE7"/>
    <w:rsid w:val="00591804"/>
    <w:rsid w:val="00591B0D"/>
    <w:rsid w:val="00591FE2"/>
    <w:rsid w:val="0059292D"/>
    <w:rsid w:val="00593EB7"/>
    <w:rsid w:val="005943BF"/>
    <w:rsid w:val="00594CF0"/>
    <w:rsid w:val="0059589F"/>
    <w:rsid w:val="0059595F"/>
    <w:rsid w:val="0059597E"/>
    <w:rsid w:val="00596D56"/>
    <w:rsid w:val="00597770"/>
    <w:rsid w:val="00597EA6"/>
    <w:rsid w:val="005A0002"/>
    <w:rsid w:val="005A10A0"/>
    <w:rsid w:val="005A121C"/>
    <w:rsid w:val="005A139E"/>
    <w:rsid w:val="005A1F4C"/>
    <w:rsid w:val="005A221A"/>
    <w:rsid w:val="005A2572"/>
    <w:rsid w:val="005A2813"/>
    <w:rsid w:val="005A3A71"/>
    <w:rsid w:val="005A4155"/>
    <w:rsid w:val="005A4738"/>
    <w:rsid w:val="005A59FE"/>
    <w:rsid w:val="005A6340"/>
    <w:rsid w:val="005A689F"/>
    <w:rsid w:val="005A6CCA"/>
    <w:rsid w:val="005A6F18"/>
    <w:rsid w:val="005A7488"/>
    <w:rsid w:val="005A75BE"/>
    <w:rsid w:val="005A7925"/>
    <w:rsid w:val="005B07B6"/>
    <w:rsid w:val="005B0B05"/>
    <w:rsid w:val="005B0F85"/>
    <w:rsid w:val="005B17DA"/>
    <w:rsid w:val="005B2F6D"/>
    <w:rsid w:val="005B308C"/>
    <w:rsid w:val="005B3F16"/>
    <w:rsid w:val="005B5356"/>
    <w:rsid w:val="005B6EBD"/>
    <w:rsid w:val="005B7400"/>
    <w:rsid w:val="005B7509"/>
    <w:rsid w:val="005B7BB0"/>
    <w:rsid w:val="005C0EBF"/>
    <w:rsid w:val="005C0F96"/>
    <w:rsid w:val="005C1480"/>
    <w:rsid w:val="005C1A91"/>
    <w:rsid w:val="005C1C21"/>
    <w:rsid w:val="005C2186"/>
    <w:rsid w:val="005C29B0"/>
    <w:rsid w:val="005C29CF"/>
    <w:rsid w:val="005C2A09"/>
    <w:rsid w:val="005C3851"/>
    <w:rsid w:val="005C4A11"/>
    <w:rsid w:val="005C4C2F"/>
    <w:rsid w:val="005C4C73"/>
    <w:rsid w:val="005C4EAC"/>
    <w:rsid w:val="005C54AE"/>
    <w:rsid w:val="005C5696"/>
    <w:rsid w:val="005C6045"/>
    <w:rsid w:val="005C613D"/>
    <w:rsid w:val="005C7284"/>
    <w:rsid w:val="005C73D5"/>
    <w:rsid w:val="005C7705"/>
    <w:rsid w:val="005C78DC"/>
    <w:rsid w:val="005C7A44"/>
    <w:rsid w:val="005C7DD9"/>
    <w:rsid w:val="005D16A4"/>
    <w:rsid w:val="005D1CC5"/>
    <w:rsid w:val="005D2481"/>
    <w:rsid w:val="005D2832"/>
    <w:rsid w:val="005D2A65"/>
    <w:rsid w:val="005D4184"/>
    <w:rsid w:val="005D4621"/>
    <w:rsid w:val="005D4FE0"/>
    <w:rsid w:val="005D516A"/>
    <w:rsid w:val="005D5510"/>
    <w:rsid w:val="005D63BB"/>
    <w:rsid w:val="005D7C6A"/>
    <w:rsid w:val="005E105F"/>
    <w:rsid w:val="005E136E"/>
    <w:rsid w:val="005E1669"/>
    <w:rsid w:val="005E4AC4"/>
    <w:rsid w:val="005E524F"/>
    <w:rsid w:val="005E568F"/>
    <w:rsid w:val="005E6542"/>
    <w:rsid w:val="005E6F82"/>
    <w:rsid w:val="005E793A"/>
    <w:rsid w:val="005E7A35"/>
    <w:rsid w:val="005F012E"/>
    <w:rsid w:val="005F0981"/>
    <w:rsid w:val="005F1BB7"/>
    <w:rsid w:val="005F1DF5"/>
    <w:rsid w:val="005F349F"/>
    <w:rsid w:val="005F3935"/>
    <w:rsid w:val="005F3E4A"/>
    <w:rsid w:val="005F45C2"/>
    <w:rsid w:val="005F4B2B"/>
    <w:rsid w:val="005F5D2D"/>
    <w:rsid w:val="005F6C59"/>
    <w:rsid w:val="005F7A36"/>
    <w:rsid w:val="00600655"/>
    <w:rsid w:val="0060116B"/>
    <w:rsid w:val="006015BA"/>
    <w:rsid w:val="00601AE8"/>
    <w:rsid w:val="00601C47"/>
    <w:rsid w:val="00601D2C"/>
    <w:rsid w:val="00602645"/>
    <w:rsid w:val="00602892"/>
    <w:rsid w:val="00603520"/>
    <w:rsid w:val="0060356C"/>
    <w:rsid w:val="00603B16"/>
    <w:rsid w:val="00604DCB"/>
    <w:rsid w:val="006056FF"/>
    <w:rsid w:val="00606074"/>
    <w:rsid w:val="0060622E"/>
    <w:rsid w:val="00606C70"/>
    <w:rsid w:val="00606CB2"/>
    <w:rsid w:val="00606E9B"/>
    <w:rsid w:val="00607F23"/>
    <w:rsid w:val="00610288"/>
    <w:rsid w:val="00610B71"/>
    <w:rsid w:val="00610F27"/>
    <w:rsid w:val="006119D0"/>
    <w:rsid w:val="00612C51"/>
    <w:rsid w:val="00612DF9"/>
    <w:rsid w:val="006132A0"/>
    <w:rsid w:val="006135A8"/>
    <w:rsid w:val="006138AF"/>
    <w:rsid w:val="00615435"/>
    <w:rsid w:val="00615CEB"/>
    <w:rsid w:val="00615F17"/>
    <w:rsid w:val="0061669C"/>
    <w:rsid w:val="00617C41"/>
    <w:rsid w:val="00620047"/>
    <w:rsid w:val="0062029D"/>
    <w:rsid w:val="0062134E"/>
    <w:rsid w:val="00621EB5"/>
    <w:rsid w:val="00622CDF"/>
    <w:rsid w:val="00624686"/>
    <w:rsid w:val="00624D08"/>
    <w:rsid w:val="00624DAD"/>
    <w:rsid w:val="0062517E"/>
    <w:rsid w:val="00625560"/>
    <w:rsid w:val="0062568F"/>
    <w:rsid w:val="00625950"/>
    <w:rsid w:val="00625FB8"/>
    <w:rsid w:val="00626F83"/>
    <w:rsid w:val="00627FFD"/>
    <w:rsid w:val="006302AA"/>
    <w:rsid w:val="0063057A"/>
    <w:rsid w:val="00630EEC"/>
    <w:rsid w:val="006310A8"/>
    <w:rsid w:val="006312D1"/>
    <w:rsid w:val="00632812"/>
    <w:rsid w:val="00632845"/>
    <w:rsid w:val="00632C0B"/>
    <w:rsid w:val="00633695"/>
    <w:rsid w:val="00633801"/>
    <w:rsid w:val="006338C4"/>
    <w:rsid w:val="00633C6C"/>
    <w:rsid w:val="0063412F"/>
    <w:rsid w:val="006355FB"/>
    <w:rsid w:val="0063562C"/>
    <w:rsid w:val="00635A2B"/>
    <w:rsid w:val="00635BA8"/>
    <w:rsid w:val="006364AB"/>
    <w:rsid w:val="006365A6"/>
    <w:rsid w:val="0063683B"/>
    <w:rsid w:val="00637DFC"/>
    <w:rsid w:val="00637F76"/>
    <w:rsid w:val="00642087"/>
    <w:rsid w:val="00643894"/>
    <w:rsid w:val="00643C82"/>
    <w:rsid w:val="006445FF"/>
    <w:rsid w:val="00644AC5"/>
    <w:rsid w:val="00645C20"/>
    <w:rsid w:val="006466AE"/>
    <w:rsid w:val="0064677F"/>
    <w:rsid w:val="0064714C"/>
    <w:rsid w:val="0064744C"/>
    <w:rsid w:val="0064759F"/>
    <w:rsid w:val="00647FB3"/>
    <w:rsid w:val="006503E7"/>
    <w:rsid w:val="006511A0"/>
    <w:rsid w:val="006513A1"/>
    <w:rsid w:val="006519E9"/>
    <w:rsid w:val="006528C5"/>
    <w:rsid w:val="0065345D"/>
    <w:rsid w:val="00653A41"/>
    <w:rsid w:val="00653A97"/>
    <w:rsid w:val="00654521"/>
    <w:rsid w:val="00654AAE"/>
    <w:rsid w:val="006553EA"/>
    <w:rsid w:val="006557B5"/>
    <w:rsid w:val="0065653A"/>
    <w:rsid w:val="006567E5"/>
    <w:rsid w:val="00656ABD"/>
    <w:rsid w:val="006570EF"/>
    <w:rsid w:val="0065734A"/>
    <w:rsid w:val="00657989"/>
    <w:rsid w:val="0065798C"/>
    <w:rsid w:val="006610FA"/>
    <w:rsid w:val="006612EE"/>
    <w:rsid w:val="00661E6B"/>
    <w:rsid w:val="00662289"/>
    <w:rsid w:val="0066297A"/>
    <w:rsid w:val="0066339F"/>
    <w:rsid w:val="00664FD0"/>
    <w:rsid w:val="006651C7"/>
    <w:rsid w:val="006654E6"/>
    <w:rsid w:val="00666094"/>
    <w:rsid w:val="006664D1"/>
    <w:rsid w:val="006673F9"/>
    <w:rsid w:val="00667993"/>
    <w:rsid w:val="00667CBC"/>
    <w:rsid w:val="00670715"/>
    <w:rsid w:val="006710B5"/>
    <w:rsid w:val="00671986"/>
    <w:rsid w:val="00671B5D"/>
    <w:rsid w:val="0067225C"/>
    <w:rsid w:val="0067229D"/>
    <w:rsid w:val="006729A0"/>
    <w:rsid w:val="00673326"/>
    <w:rsid w:val="006744FE"/>
    <w:rsid w:val="0067697F"/>
    <w:rsid w:val="00676A1C"/>
    <w:rsid w:val="00676A25"/>
    <w:rsid w:val="00677755"/>
    <w:rsid w:val="00680921"/>
    <w:rsid w:val="006811FC"/>
    <w:rsid w:val="00681608"/>
    <w:rsid w:val="00681610"/>
    <w:rsid w:val="00681A00"/>
    <w:rsid w:val="00682735"/>
    <w:rsid w:val="00683108"/>
    <w:rsid w:val="00683BF1"/>
    <w:rsid w:val="0068418E"/>
    <w:rsid w:val="00684B80"/>
    <w:rsid w:val="006850B5"/>
    <w:rsid w:val="006851E6"/>
    <w:rsid w:val="006869BE"/>
    <w:rsid w:val="00687AA2"/>
    <w:rsid w:val="0069107A"/>
    <w:rsid w:val="006949D0"/>
    <w:rsid w:val="00694B55"/>
    <w:rsid w:val="00694F6B"/>
    <w:rsid w:val="006959B9"/>
    <w:rsid w:val="006968EF"/>
    <w:rsid w:val="00696E95"/>
    <w:rsid w:val="00697031"/>
    <w:rsid w:val="0069732C"/>
    <w:rsid w:val="00697587"/>
    <w:rsid w:val="00697997"/>
    <w:rsid w:val="006A1BD5"/>
    <w:rsid w:val="006A2D6F"/>
    <w:rsid w:val="006A3DFE"/>
    <w:rsid w:val="006A5622"/>
    <w:rsid w:val="006A5B37"/>
    <w:rsid w:val="006A75F9"/>
    <w:rsid w:val="006A7753"/>
    <w:rsid w:val="006B03B0"/>
    <w:rsid w:val="006B0A94"/>
    <w:rsid w:val="006B0C0D"/>
    <w:rsid w:val="006B2318"/>
    <w:rsid w:val="006B2AA6"/>
    <w:rsid w:val="006B3957"/>
    <w:rsid w:val="006B3DB4"/>
    <w:rsid w:val="006B41F9"/>
    <w:rsid w:val="006B450A"/>
    <w:rsid w:val="006B4913"/>
    <w:rsid w:val="006B4A59"/>
    <w:rsid w:val="006B5146"/>
    <w:rsid w:val="006B6328"/>
    <w:rsid w:val="006B66A8"/>
    <w:rsid w:val="006B66EE"/>
    <w:rsid w:val="006B73A8"/>
    <w:rsid w:val="006B7654"/>
    <w:rsid w:val="006B7AA8"/>
    <w:rsid w:val="006C0233"/>
    <w:rsid w:val="006C03F1"/>
    <w:rsid w:val="006C066D"/>
    <w:rsid w:val="006C23A6"/>
    <w:rsid w:val="006C3089"/>
    <w:rsid w:val="006C53CD"/>
    <w:rsid w:val="006C5479"/>
    <w:rsid w:val="006C6091"/>
    <w:rsid w:val="006C6218"/>
    <w:rsid w:val="006C6661"/>
    <w:rsid w:val="006C6B09"/>
    <w:rsid w:val="006C6BBF"/>
    <w:rsid w:val="006D1668"/>
    <w:rsid w:val="006D2BE8"/>
    <w:rsid w:val="006D2F3B"/>
    <w:rsid w:val="006D3121"/>
    <w:rsid w:val="006D353C"/>
    <w:rsid w:val="006D419D"/>
    <w:rsid w:val="006D5078"/>
    <w:rsid w:val="006D5C3B"/>
    <w:rsid w:val="006D72B3"/>
    <w:rsid w:val="006D7385"/>
    <w:rsid w:val="006D7DFD"/>
    <w:rsid w:val="006E0723"/>
    <w:rsid w:val="006E2064"/>
    <w:rsid w:val="006E2DBE"/>
    <w:rsid w:val="006E3063"/>
    <w:rsid w:val="006E33F9"/>
    <w:rsid w:val="006E372E"/>
    <w:rsid w:val="006E43CE"/>
    <w:rsid w:val="006E43FC"/>
    <w:rsid w:val="006E5ADA"/>
    <w:rsid w:val="006E671A"/>
    <w:rsid w:val="006E6C5E"/>
    <w:rsid w:val="006F097E"/>
    <w:rsid w:val="006F1136"/>
    <w:rsid w:val="006F32AF"/>
    <w:rsid w:val="006F344D"/>
    <w:rsid w:val="006F3528"/>
    <w:rsid w:val="006F380D"/>
    <w:rsid w:val="006F3A3D"/>
    <w:rsid w:val="006F3A6D"/>
    <w:rsid w:val="006F3B99"/>
    <w:rsid w:val="006F3F58"/>
    <w:rsid w:val="006F47F3"/>
    <w:rsid w:val="006F4B5A"/>
    <w:rsid w:val="006F6540"/>
    <w:rsid w:val="006F65EB"/>
    <w:rsid w:val="006F68B2"/>
    <w:rsid w:val="006F75D6"/>
    <w:rsid w:val="00700D21"/>
    <w:rsid w:val="007011FA"/>
    <w:rsid w:val="00701328"/>
    <w:rsid w:val="00701C47"/>
    <w:rsid w:val="00701DA2"/>
    <w:rsid w:val="00702D63"/>
    <w:rsid w:val="00705433"/>
    <w:rsid w:val="007054ED"/>
    <w:rsid w:val="00705A80"/>
    <w:rsid w:val="007060D1"/>
    <w:rsid w:val="00706E68"/>
    <w:rsid w:val="007074FB"/>
    <w:rsid w:val="00707825"/>
    <w:rsid w:val="00707BA1"/>
    <w:rsid w:val="007105CD"/>
    <w:rsid w:val="00711162"/>
    <w:rsid w:val="0071181A"/>
    <w:rsid w:val="007125CD"/>
    <w:rsid w:val="007129AD"/>
    <w:rsid w:val="00713B63"/>
    <w:rsid w:val="00713B82"/>
    <w:rsid w:val="00714762"/>
    <w:rsid w:val="00714E93"/>
    <w:rsid w:val="0071562A"/>
    <w:rsid w:val="007168A8"/>
    <w:rsid w:val="007179B7"/>
    <w:rsid w:val="00717A93"/>
    <w:rsid w:val="007201C4"/>
    <w:rsid w:val="007208A7"/>
    <w:rsid w:val="00720C94"/>
    <w:rsid w:val="00721993"/>
    <w:rsid w:val="007223D2"/>
    <w:rsid w:val="00722E53"/>
    <w:rsid w:val="0072338A"/>
    <w:rsid w:val="007233E8"/>
    <w:rsid w:val="00723DFB"/>
    <w:rsid w:val="00724DAC"/>
    <w:rsid w:val="0072659B"/>
    <w:rsid w:val="00726D98"/>
    <w:rsid w:val="00727612"/>
    <w:rsid w:val="007307B5"/>
    <w:rsid w:val="007313F9"/>
    <w:rsid w:val="0073162C"/>
    <w:rsid w:val="00731E0E"/>
    <w:rsid w:val="00733153"/>
    <w:rsid w:val="00733DE0"/>
    <w:rsid w:val="00734965"/>
    <w:rsid w:val="00735083"/>
    <w:rsid w:val="00735790"/>
    <w:rsid w:val="00735B3C"/>
    <w:rsid w:val="00735D56"/>
    <w:rsid w:val="00735D78"/>
    <w:rsid w:val="00735F12"/>
    <w:rsid w:val="00736C97"/>
    <w:rsid w:val="00736F48"/>
    <w:rsid w:val="00737269"/>
    <w:rsid w:val="007406AE"/>
    <w:rsid w:val="00740CA2"/>
    <w:rsid w:val="00740D5F"/>
    <w:rsid w:val="00742705"/>
    <w:rsid w:val="0074353F"/>
    <w:rsid w:val="0074367C"/>
    <w:rsid w:val="00744825"/>
    <w:rsid w:val="00745CFC"/>
    <w:rsid w:val="007462FA"/>
    <w:rsid w:val="00746DAB"/>
    <w:rsid w:val="007470E2"/>
    <w:rsid w:val="00747B65"/>
    <w:rsid w:val="007501BB"/>
    <w:rsid w:val="00750AAD"/>
    <w:rsid w:val="0075165A"/>
    <w:rsid w:val="00752258"/>
    <w:rsid w:val="007522AF"/>
    <w:rsid w:val="007529F9"/>
    <w:rsid w:val="00752C8A"/>
    <w:rsid w:val="0075331E"/>
    <w:rsid w:val="00753D3A"/>
    <w:rsid w:val="00754143"/>
    <w:rsid w:val="007545B0"/>
    <w:rsid w:val="0075463B"/>
    <w:rsid w:val="007547B9"/>
    <w:rsid w:val="00754862"/>
    <w:rsid w:val="00754FCE"/>
    <w:rsid w:val="007554A3"/>
    <w:rsid w:val="00755641"/>
    <w:rsid w:val="007558EE"/>
    <w:rsid w:val="007565D9"/>
    <w:rsid w:val="007569E5"/>
    <w:rsid w:val="00757125"/>
    <w:rsid w:val="0075724A"/>
    <w:rsid w:val="007579FB"/>
    <w:rsid w:val="0076078D"/>
    <w:rsid w:val="00761C11"/>
    <w:rsid w:val="00762B39"/>
    <w:rsid w:val="00762BF0"/>
    <w:rsid w:val="00762F6B"/>
    <w:rsid w:val="00763451"/>
    <w:rsid w:val="00763DDA"/>
    <w:rsid w:val="00763DEF"/>
    <w:rsid w:val="007640D5"/>
    <w:rsid w:val="00764B20"/>
    <w:rsid w:val="00764D43"/>
    <w:rsid w:val="00764FE6"/>
    <w:rsid w:val="00765B83"/>
    <w:rsid w:val="00765CF1"/>
    <w:rsid w:val="007662C4"/>
    <w:rsid w:val="007663C6"/>
    <w:rsid w:val="00766C18"/>
    <w:rsid w:val="00766FAA"/>
    <w:rsid w:val="0076750A"/>
    <w:rsid w:val="0076787D"/>
    <w:rsid w:val="00767EDE"/>
    <w:rsid w:val="0077056B"/>
    <w:rsid w:val="00770BCE"/>
    <w:rsid w:val="00772554"/>
    <w:rsid w:val="00772C1D"/>
    <w:rsid w:val="00772F24"/>
    <w:rsid w:val="00775482"/>
    <w:rsid w:val="00780787"/>
    <w:rsid w:val="00780870"/>
    <w:rsid w:val="007836A9"/>
    <w:rsid w:val="00783DC6"/>
    <w:rsid w:val="0078477A"/>
    <w:rsid w:val="007849E8"/>
    <w:rsid w:val="00784BAC"/>
    <w:rsid w:val="007866A0"/>
    <w:rsid w:val="00786B93"/>
    <w:rsid w:val="0078705F"/>
    <w:rsid w:val="00787112"/>
    <w:rsid w:val="00791392"/>
    <w:rsid w:val="0079314A"/>
    <w:rsid w:val="00793D59"/>
    <w:rsid w:val="00795284"/>
    <w:rsid w:val="00796694"/>
    <w:rsid w:val="007968D5"/>
    <w:rsid w:val="007968FC"/>
    <w:rsid w:val="00796C1E"/>
    <w:rsid w:val="00796EA0"/>
    <w:rsid w:val="007A03B0"/>
    <w:rsid w:val="007A03DD"/>
    <w:rsid w:val="007A0CBF"/>
    <w:rsid w:val="007A0DEF"/>
    <w:rsid w:val="007A0E84"/>
    <w:rsid w:val="007A20BC"/>
    <w:rsid w:val="007A2FF3"/>
    <w:rsid w:val="007A3149"/>
    <w:rsid w:val="007A32DD"/>
    <w:rsid w:val="007A3EC7"/>
    <w:rsid w:val="007A436C"/>
    <w:rsid w:val="007A5884"/>
    <w:rsid w:val="007A5D67"/>
    <w:rsid w:val="007A6225"/>
    <w:rsid w:val="007A7C23"/>
    <w:rsid w:val="007B03D7"/>
    <w:rsid w:val="007B199F"/>
    <w:rsid w:val="007B23F3"/>
    <w:rsid w:val="007B2E0B"/>
    <w:rsid w:val="007B6C6D"/>
    <w:rsid w:val="007B7EDA"/>
    <w:rsid w:val="007C118D"/>
    <w:rsid w:val="007C1C23"/>
    <w:rsid w:val="007C22C3"/>
    <w:rsid w:val="007C2F0D"/>
    <w:rsid w:val="007C2F9C"/>
    <w:rsid w:val="007C42BC"/>
    <w:rsid w:val="007C4CF6"/>
    <w:rsid w:val="007C58A9"/>
    <w:rsid w:val="007C61D0"/>
    <w:rsid w:val="007C66A5"/>
    <w:rsid w:val="007C67C9"/>
    <w:rsid w:val="007C6DA7"/>
    <w:rsid w:val="007C6EA1"/>
    <w:rsid w:val="007C707B"/>
    <w:rsid w:val="007C7AE1"/>
    <w:rsid w:val="007C7CCC"/>
    <w:rsid w:val="007D0288"/>
    <w:rsid w:val="007D0A8F"/>
    <w:rsid w:val="007D0E5C"/>
    <w:rsid w:val="007D15A6"/>
    <w:rsid w:val="007D1636"/>
    <w:rsid w:val="007D2A90"/>
    <w:rsid w:val="007D3141"/>
    <w:rsid w:val="007D387B"/>
    <w:rsid w:val="007D426D"/>
    <w:rsid w:val="007D55C3"/>
    <w:rsid w:val="007D5665"/>
    <w:rsid w:val="007D6782"/>
    <w:rsid w:val="007D678E"/>
    <w:rsid w:val="007D69CE"/>
    <w:rsid w:val="007D7E7E"/>
    <w:rsid w:val="007E0229"/>
    <w:rsid w:val="007E0405"/>
    <w:rsid w:val="007E0661"/>
    <w:rsid w:val="007E12E1"/>
    <w:rsid w:val="007E288D"/>
    <w:rsid w:val="007E2FD1"/>
    <w:rsid w:val="007E4E74"/>
    <w:rsid w:val="007E54DD"/>
    <w:rsid w:val="007E5DAB"/>
    <w:rsid w:val="007E760E"/>
    <w:rsid w:val="007E7F8E"/>
    <w:rsid w:val="007F05AE"/>
    <w:rsid w:val="007F0E94"/>
    <w:rsid w:val="007F15AA"/>
    <w:rsid w:val="007F160A"/>
    <w:rsid w:val="007F1AC0"/>
    <w:rsid w:val="007F2016"/>
    <w:rsid w:val="007F2A4E"/>
    <w:rsid w:val="007F42D3"/>
    <w:rsid w:val="007F44D9"/>
    <w:rsid w:val="007F4554"/>
    <w:rsid w:val="007F4D2A"/>
    <w:rsid w:val="007F534A"/>
    <w:rsid w:val="007F5835"/>
    <w:rsid w:val="007F59E6"/>
    <w:rsid w:val="007F5E1D"/>
    <w:rsid w:val="007F684E"/>
    <w:rsid w:val="007F6C63"/>
    <w:rsid w:val="007F70F4"/>
    <w:rsid w:val="008002B5"/>
    <w:rsid w:val="00800AFD"/>
    <w:rsid w:val="00800D96"/>
    <w:rsid w:val="00800E26"/>
    <w:rsid w:val="00800F07"/>
    <w:rsid w:val="00801418"/>
    <w:rsid w:val="00802002"/>
    <w:rsid w:val="008036A8"/>
    <w:rsid w:val="0080382E"/>
    <w:rsid w:val="00804745"/>
    <w:rsid w:val="00804D46"/>
    <w:rsid w:val="00805443"/>
    <w:rsid w:val="008066AF"/>
    <w:rsid w:val="00807CAF"/>
    <w:rsid w:val="00810877"/>
    <w:rsid w:val="00810DE9"/>
    <w:rsid w:val="00813426"/>
    <w:rsid w:val="00813486"/>
    <w:rsid w:val="008139AF"/>
    <w:rsid w:val="00814268"/>
    <w:rsid w:val="0081559F"/>
    <w:rsid w:val="00815F5A"/>
    <w:rsid w:val="0081647F"/>
    <w:rsid w:val="008169EE"/>
    <w:rsid w:val="00817A72"/>
    <w:rsid w:val="0082008B"/>
    <w:rsid w:val="008202CD"/>
    <w:rsid w:val="0082126E"/>
    <w:rsid w:val="00821B43"/>
    <w:rsid w:val="00821E5D"/>
    <w:rsid w:val="0082256D"/>
    <w:rsid w:val="00823C5F"/>
    <w:rsid w:val="00824728"/>
    <w:rsid w:val="00824BB7"/>
    <w:rsid w:val="008250D5"/>
    <w:rsid w:val="00825325"/>
    <w:rsid w:val="00825FC4"/>
    <w:rsid w:val="00826C60"/>
    <w:rsid w:val="008277AB"/>
    <w:rsid w:val="00827AC9"/>
    <w:rsid w:val="008300E4"/>
    <w:rsid w:val="00830D03"/>
    <w:rsid w:val="0083219A"/>
    <w:rsid w:val="008325E5"/>
    <w:rsid w:val="0083277A"/>
    <w:rsid w:val="00832C45"/>
    <w:rsid w:val="00832FEB"/>
    <w:rsid w:val="00833034"/>
    <w:rsid w:val="00833349"/>
    <w:rsid w:val="008339CE"/>
    <w:rsid w:val="00834647"/>
    <w:rsid w:val="00834753"/>
    <w:rsid w:val="00835554"/>
    <w:rsid w:val="0083622A"/>
    <w:rsid w:val="00836FF8"/>
    <w:rsid w:val="00837293"/>
    <w:rsid w:val="00837746"/>
    <w:rsid w:val="00837F68"/>
    <w:rsid w:val="00840C4F"/>
    <w:rsid w:val="00840E21"/>
    <w:rsid w:val="008419EB"/>
    <w:rsid w:val="00841B87"/>
    <w:rsid w:val="008420D6"/>
    <w:rsid w:val="008425F6"/>
    <w:rsid w:val="00843022"/>
    <w:rsid w:val="00843D4E"/>
    <w:rsid w:val="00844ED3"/>
    <w:rsid w:val="0084620F"/>
    <w:rsid w:val="00846289"/>
    <w:rsid w:val="00846EF0"/>
    <w:rsid w:val="0084787C"/>
    <w:rsid w:val="00847ED2"/>
    <w:rsid w:val="00850351"/>
    <w:rsid w:val="0085036A"/>
    <w:rsid w:val="00851485"/>
    <w:rsid w:val="00851A5E"/>
    <w:rsid w:val="00851C4D"/>
    <w:rsid w:val="008525C5"/>
    <w:rsid w:val="008526CB"/>
    <w:rsid w:val="008526DE"/>
    <w:rsid w:val="00852877"/>
    <w:rsid w:val="00852913"/>
    <w:rsid w:val="00852986"/>
    <w:rsid w:val="00853CCB"/>
    <w:rsid w:val="0085432D"/>
    <w:rsid w:val="008548C5"/>
    <w:rsid w:val="00855563"/>
    <w:rsid w:val="0085571D"/>
    <w:rsid w:val="00855B04"/>
    <w:rsid w:val="00855BE1"/>
    <w:rsid w:val="00855D27"/>
    <w:rsid w:val="00855D92"/>
    <w:rsid w:val="00856DD8"/>
    <w:rsid w:val="00856E7D"/>
    <w:rsid w:val="00857515"/>
    <w:rsid w:val="00857EB2"/>
    <w:rsid w:val="00857F0E"/>
    <w:rsid w:val="00857F25"/>
    <w:rsid w:val="00860166"/>
    <w:rsid w:val="0086068A"/>
    <w:rsid w:val="00862510"/>
    <w:rsid w:val="008628B2"/>
    <w:rsid w:val="00862FEB"/>
    <w:rsid w:val="008632D8"/>
    <w:rsid w:val="008635E6"/>
    <w:rsid w:val="00863AC5"/>
    <w:rsid w:val="00863C51"/>
    <w:rsid w:val="008642A3"/>
    <w:rsid w:val="008642D6"/>
    <w:rsid w:val="008648C1"/>
    <w:rsid w:val="00864B0D"/>
    <w:rsid w:val="00866BB8"/>
    <w:rsid w:val="00866CE9"/>
    <w:rsid w:val="00866EF5"/>
    <w:rsid w:val="00867136"/>
    <w:rsid w:val="008675F1"/>
    <w:rsid w:val="008702CA"/>
    <w:rsid w:val="00870BA6"/>
    <w:rsid w:val="00871391"/>
    <w:rsid w:val="008716D6"/>
    <w:rsid w:val="00871CDA"/>
    <w:rsid w:val="00871F7C"/>
    <w:rsid w:val="00873F40"/>
    <w:rsid w:val="008755D3"/>
    <w:rsid w:val="00875F27"/>
    <w:rsid w:val="00876110"/>
    <w:rsid w:val="008769A7"/>
    <w:rsid w:val="008777DD"/>
    <w:rsid w:val="00877863"/>
    <w:rsid w:val="008778FB"/>
    <w:rsid w:val="00877A39"/>
    <w:rsid w:val="00880B29"/>
    <w:rsid w:val="0088123B"/>
    <w:rsid w:val="00881916"/>
    <w:rsid w:val="00882823"/>
    <w:rsid w:val="00882EE8"/>
    <w:rsid w:val="00883378"/>
    <w:rsid w:val="00883902"/>
    <w:rsid w:val="00883D1C"/>
    <w:rsid w:val="00884A03"/>
    <w:rsid w:val="00884C5B"/>
    <w:rsid w:val="008853F2"/>
    <w:rsid w:val="00885488"/>
    <w:rsid w:val="00885654"/>
    <w:rsid w:val="00885C5A"/>
    <w:rsid w:val="0088666E"/>
    <w:rsid w:val="00886B30"/>
    <w:rsid w:val="0088727E"/>
    <w:rsid w:val="00887A07"/>
    <w:rsid w:val="008901EF"/>
    <w:rsid w:val="0089028C"/>
    <w:rsid w:val="008916B0"/>
    <w:rsid w:val="00891721"/>
    <w:rsid w:val="0089245A"/>
    <w:rsid w:val="00892A38"/>
    <w:rsid w:val="008932A4"/>
    <w:rsid w:val="0089341E"/>
    <w:rsid w:val="008936A7"/>
    <w:rsid w:val="00893CB1"/>
    <w:rsid w:val="00894AE9"/>
    <w:rsid w:val="008955EB"/>
    <w:rsid w:val="0089613F"/>
    <w:rsid w:val="008966B9"/>
    <w:rsid w:val="008969C7"/>
    <w:rsid w:val="008970EE"/>
    <w:rsid w:val="00897B72"/>
    <w:rsid w:val="008A03AF"/>
    <w:rsid w:val="008A03E8"/>
    <w:rsid w:val="008A0D84"/>
    <w:rsid w:val="008A130F"/>
    <w:rsid w:val="008A17A4"/>
    <w:rsid w:val="008A1D4D"/>
    <w:rsid w:val="008A307C"/>
    <w:rsid w:val="008A3154"/>
    <w:rsid w:val="008A46CD"/>
    <w:rsid w:val="008A5C96"/>
    <w:rsid w:val="008A69C7"/>
    <w:rsid w:val="008A7AC6"/>
    <w:rsid w:val="008A7D72"/>
    <w:rsid w:val="008B13A2"/>
    <w:rsid w:val="008B16B2"/>
    <w:rsid w:val="008B2082"/>
    <w:rsid w:val="008B24E1"/>
    <w:rsid w:val="008B474A"/>
    <w:rsid w:val="008B4915"/>
    <w:rsid w:val="008B5D41"/>
    <w:rsid w:val="008B67FC"/>
    <w:rsid w:val="008B7ABB"/>
    <w:rsid w:val="008B7BAC"/>
    <w:rsid w:val="008C0546"/>
    <w:rsid w:val="008C0659"/>
    <w:rsid w:val="008C0B6C"/>
    <w:rsid w:val="008C0E13"/>
    <w:rsid w:val="008C11BE"/>
    <w:rsid w:val="008C1937"/>
    <w:rsid w:val="008C1D31"/>
    <w:rsid w:val="008C1FE7"/>
    <w:rsid w:val="008C2743"/>
    <w:rsid w:val="008C2F14"/>
    <w:rsid w:val="008C491C"/>
    <w:rsid w:val="008C5405"/>
    <w:rsid w:val="008C5BCB"/>
    <w:rsid w:val="008C5DB1"/>
    <w:rsid w:val="008C5F45"/>
    <w:rsid w:val="008C6E11"/>
    <w:rsid w:val="008C76D5"/>
    <w:rsid w:val="008C7EDE"/>
    <w:rsid w:val="008D0060"/>
    <w:rsid w:val="008D079F"/>
    <w:rsid w:val="008D0D93"/>
    <w:rsid w:val="008D31CD"/>
    <w:rsid w:val="008D377A"/>
    <w:rsid w:val="008D4DFE"/>
    <w:rsid w:val="008D55FD"/>
    <w:rsid w:val="008D689B"/>
    <w:rsid w:val="008D7339"/>
    <w:rsid w:val="008D774C"/>
    <w:rsid w:val="008D7A71"/>
    <w:rsid w:val="008E016B"/>
    <w:rsid w:val="008E0CB4"/>
    <w:rsid w:val="008E0FA4"/>
    <w:rsid w:val="008E157C"/>
    <w:rsid w:val="008E1CA2"/>
    <w:rsid w:val="008E2784"/>
    <w:rsid w:val="008E27DB"/>
    <w:rsid w:val="008E29CE"/>
    <w:rsid w:val="008E32C9"/>
    <w:rsid w:val="008E3339"/>
    <w:rsid w:val="008E3566"/>
    <w:rsid w:val="008E573A"/>
    <w:rsid w:val="008E6474"/>
    <w:rsid w:val="008E6B43"/>
    <w:rsid w:val="008E77E5"/>
    <w:rsid w:val="008F06C6"/>
    <w:rsid w:val="008F1067"/>
    <w:rsid w:val="008F19AB"/>
    <w:rsid w:val="008F1F44"/>
    <w:rsid w:val="008F2427"/>
    <w:rsid w:val="008F28A7"/>
    <w:rsid w:val="008F3203"/>
    <w:rsid w:val="008F3259"/>
    <w:rsid w:val="008F3AC6"/>
    <w:rsid w:val="008F4625"/>
    <w:rsid w:val="008F5286"/>
    <w:rsid w:val="008F73E4"/>
    <w:rsid w:val="008F7833"/>
    <w:rsid w:val="008F795C"/>
    <w:rsid w:val="008F79CB"/>
    <w:rsid w:val="0090185F"/>
    <w:rsid w:val="0090188D"/>
    <w:rsid w:val="009018F9"/>
    <w:rsid w:val="00901A59"/>
    <w:rsid w:val="00902DE8"/>
    <w:rsid w:val="00902E79"/>
    <w:rsid w:val="00902F1E"/>
    <w:rsid w:val="0090353D"/>
    <w:rsid w:val="00904131"/>
    <w:rsid w:val="009047F6"/>
    <w:rsid w:val="009069AE"/>
    <w:rsid w:val="00907076"/>
    <w:rsid w:val="0090708F"/>
    <w:rsid w:val="00907C13"/>
    <w:rsid w:val="00907CB2"/>
    <w:rsid w:val="00910E25"/>
    <w:rsid w:val="009111EC"/>
    <w:rsid w:val="009117E4"/>
    <w:rsid w:val="00912DCA"/>
    <w:rsid w:val="00912E42"/>
    <w:rsid w:val="00913575"/>
    <w:rsid w:val="00913EBC"/>
    <w:rsid w:val="009140A9"/>
    <w:rsid w:val="00915086"/>
    <w:rsid w:val="00915240"/>
    <w:rsid w:val="009168C3"/>
    <w:rsid w:val="00921496"/>
    <w:rsid w:val="009218EF"/>
    <w:rsid w:val="00925F86"/>
    <w:rsid w:val="009262B0"/>
    <w:rsid w:val="009267E1"/>
    <w:rsid w:val="00927C1F"/>
    <w:rsid w:val="009309FE"/>
    <w:rsid w:val="00931431"/>
    <w:rsid w:val="009319A1"/>
    <w:rsid w:val="00931A58"/>
    <w:rsid w:val="00931BC0"/>
    <w:rsid w:val="00931EE0"/>
    <w:rsid w:val="00932286"/>
    <w:rsid w:val="00932669"/>
    <w:rsid w:val="00932F76"/>
    <w:rsid w:val="0093306C"/>
    <w:rsid w:val="00933E3F"/>
    <w:rsid w:val="009340C6"/>
    <w:rsid w:val="009341FC"/>
    <w:rsid w:val="00934291"/>
    <w:rsid w:val="00934B6E"/>
    <w:rsid w:val="0093584A"/>
    <w:rsid w:val="00936398"/>
    <w:rsid w:val="00936C9D"/>
    <w:rsid w:val="009371A3"/>
    <w:rsid w:val="0093735B"/>
    <w:rsid w:val="0094152D"/>
    <w:rsid w:val="00941EC1"/>
    <w:rsid w:val="00941F0E"/>
    <w:rsid w:val="00942595"/>
    <w:rsid w:val="0094292C"/>
    <w:rsid w:val="00942A6E"/>
    <w:rsid w:val="009435B1"/>
    <w:rsid w:val="00943A6C"/>
    <w:rsid w:val="00943D48"/>
    <w:rsid w:val="00944B6C"/>
    <w:rsid w:val="00945E85"/>
    <w:rsid w:val="00945EFD"/>
    <w:rsid w:val="00946AB5"/>
    <w:rsid w:val="00946F36"/>
    <w:rsid w:val="0094771E"/>
    <w:rsid w:val="0094788C"/>
    <w:rsid w:val="00947932"/>
    <w:rsid w:val="00947CF2"/>
    <w:rsid w:val="009543D0"/>
    <w:rsid w:val="009545F2"/>
    <w:rsid w:val="00954801"/>
    <w:rsid w:val="00955F55"/>
    <w:rsid w:val="009560D2"/>
    <w:rsid w:val="009561E9"/>
    <w:rsid w:val="009565EF"/>
    <w:rsid w:val="009566BA"/>
    <w:rsid w:val="00957A8E"/>
    <w:rsid w:val="00960584"/>
    <w:rsid w:val="00960EBB"/>
    <w:rsid w:val="00961333"/>
    <w:rsid w:val="00961AAE"/>
    <w:rsid w:val="00963F5C"/>
    <w:rsid w:val="00963F6D"/>
    <w:rsid w:val="00964046"/>
    <w:rsid w:val="00964073"/>
    <w:rsid w:val="0096435E"/>
    <w:rsid w:val="00964477"/>
    <w:rsid w:val="00964C00"/>
    <w:rsid w:val="00967746"/>
    <w:rsid w:val="009700FF"/>
    <w:rsid w:val="009709ED"/>
    <w:rsid w:val="00970F86"/>
    <w:rsid w:val="009711B3"/>
    <w:rsid w:val="00972042"/>
    <w:rsid w:val="009720EB"/>
    <w:rsid w:val="00972D66"/>
    <w:rsid w:val="00973604"/>
    <w:rsid w:val="00974121"/>
    <w:rsid w:val="009759D7"/>
    <w:rsid w:val="0098120D"/>
    <w:rsid w:val="00981867"/>
    <w:rsid w:val="00981DD6"/>
    <w:rsid w:val="0098202E"/>
    <w:rsid w:val="009825E9"/>
    <w:rsid w:val="00982ABF"/>
    <w:rsid w:val="0098516E"/>
    <w:rsid w:val="00985368"/>
    <w:rsid w:val="009866C1"/>
    <w:rsid w:val="00986930"/>
    <w:rsid w:val="009870FD"/>
    <w:rsid w:val="009871F9"/>
    <w:rsid w:val="009902C1"/>
    <w:rsid w:val="0099034E"/>
    <w:rsid w:val="00991158"/>
    <w:rsid w:val="00991A6D"/>
    <w:rsid w:val="0099260C"/>
    <w:rsid w:val="0099293A"/>
    <w:rsid w:val="009936BE"/>
    <w:rsid w:val="00994014"/>
    <w:rsid w:val="00994155"/>
    <w:rsid w:val="0099566D"/>
    <w:rsid w:val="00995675"/>
    <w:rsid w:val="00996091"/>
    <w:rsid w:val="009960A7"/>
    <w:rsid w:val="00996B54"/>
    <w:rsid w:val="00996B76"/>
    <w:rsid w:val="00996E86"/>
    <w:rsid w:val="00996F9E"/>
    <w:rsid w:val="009972BE"/>
    <w:rsid w:val="009A05BD"/>
    <w:rsid w:val="009A06CE"/>
    <w:rsid w:val="009A283A"/>
    <w:rsid w:val="009A2A36"/>
    <w:rsid w:val="009A3304"/>
    <w:rsid w:val="009A3B8F"/>
    <w:rsid w:val="009A3BE2"/>
    <w:rsid w:val="009A4193"/>
    <w:rsid w:val="009A4310"/>
    <w:rsid w:val="009A51A5"/>
    <w:rsid w:val="009A537D"/>
    <w:rsid w:val="009A6D70"/>
    <w:rsid w:val="009A71CE"/>
    <w:rsid w:val="009A7ABD"/>
    <w:rsid w:val="009A7EF4"/>
    <w:rsid w:val="009B0837"/>
    <w:rsid w:val="009B0DBD"/>
    <w:rsid w:val="009B362B"/>
    <w:rsid w:val="009B37A9"/>
    <w:rsid w:val="009B4BFC"/>
    <w:rsid w:val="009B652C"/>
    <w:rsid w:val="009B65F0"/>
    <w:rsid w:val="009B7759"/>
    <w:rsid w:val="009C03D8"/>
    <w:rsid w:val="009C0979"/>
    <w:rsid w:val="009C11CD"/>
    <w:rsid w:val="009C1E0A"/>
    <w:rsid w:val="009C23C6"/>
    <w:rsid w:val="009C24F3"/>
    <w:rsid w:val="009C359D"/>
    <w:rsid w:val="009C3FD1"/>
    <w:rsid w:val="009C5F83"/>
    <w:rsid w:val="009C6C45"/>
    <w:rsid w:val="009C6D04"/>
    <w:rsid w:val="009D0619"/>
    <w:rsid w:val="009D0D43"/>
    <w:rsid w:val="009D10A1"/>
    <w:rsid w:val="009D1907"/>
    <w:rsid w:val="009D32A7"/>
    <w:rsid w:val="009D436A"/>
    <w:rsid w:val="009D4BEE"/>
    <w:rsid w:val="009D55E1"/>
    <w:rsid w:val="009D60F9"/>
    <w:rsid w:val="009D6753"/>
    <w:rsid w:val="009D6843"/>
    <w:rsid w:val="009D68DE"/>
    <w:rsid w:val="009D6D22"/>
    <w:rsid w:val="009D6E26"/>
    <w:rsid w:val="009D729E"/>
    <w:rsid w:val="009D7650"/>
    <w:rsid w:val="009D7C79"/>
    <w:rsid w:val="009E067E"/>
    <w:rsid w:val="009E2F5E"/>
    <w:rsid w:val="009E3444"/>
    <w:rsid w:val="009E3A5E"/>
    <w:rsid w:val="009E3E91"/>
    <w:rsid w:val="009E40A2"/>
    <w:rsid w:val="009E434E"/>
    <w:rsid w:val="009E45C6"/>
    <w:rsid w:val="009E52B7"/>
    <w:rsid w:val="009E591A"/>
    <w:rsid w:val="009E7420"/>
    <w:rsid w:val="009E7603"/>
    <w:rsid w:val="009F0899"/>
    <w:rsid w:val="009F1251"/>
    <w:rsid w:val="009F1A1C"/>
    <w:rsid w:val="009F1EA7"/>
    <w:rsid w:val="009F2704"/>
    <w:rsid w:val="009F2E16"/>
    <w:rsid w:val="009F54E0"/>
    <w:rsid w:val="009F574B"/>
    <w:rsid w:val="009F5B4E"/>
    <w:rsid w:val="009F712D"/>
    <w:rsid w:val="00A003EE"/>
    <w:rsid w:val="00A00924"/>
    <w:rsid w:val="00A021E8"/>
    <w:rsid w:val="00A02438"/>
    <w:rsid w:val="00A02E0B"/>
    <w:rsid w:val="00A03250"/>
    <w:rsid w:val="00A039A0"/>
    <w:rsid w:val="00A03A5B"/>
    <w:rsid w:val="00A04309"/>
    <w:rsid w:val="00A048F9"/>
    <w:rsid w:val="00A04AF7"/>
    <w:rsid w:val="00A04E8E"/>
    <w:rsid w:val="00A05433"/>
    <w:rsid w:val="00A055F9"/>
    <w:rsid w:val="00A0560D"/>
    <w:rsid w:val="00A05D55"/>
    <w:rsid w:val="00A062A3"/>
    <w:rsid w:val="00A062F9"/>
    <w:rsid w:val="00A069E9"/>
    <w:rsid w:val="00A0719D"/>
    <w:rsid w:val="00A0767C"/>
    <w:rsid w:val="00A078CF"/>
    <w:rsid w:val="00A079F0"/>
    <w:rsid w:val="00A113FA"/>
    <w:rsid w:val="00A11525"/>
    <w:rsid w:val="00A11BFC"/>
    <w:rsid w:val="00A129E3"/>
    <w:rsid w:val="00A12F91"/>
    <w:rsid w:val="00A13D3E"/>
    <w:rsid w:val="00A13E86"/>
    <w:rsid w:val="00A15053"/>
    <w:rsid w:val="00A15231"/>
    <w:rsid w:val="00A15AA1"/>
    <w:rsid w:val="00A16E67"/>
    <w:rsid w:val="00A1727D"/>
    <w:rsid w:val="00A217B9"/>
    <w:rsid w:val="00A21FF4"/>
    <w:rsid w:val="00A2216D"/>
    <w:rsid w:val="00A22604"/>
    <w:rsid w:val="00A22D2F"/>
    <w:rsid w:val="00A23BEC"/>
    <w:rsid w:val="00A23C07"/>
    <w:rsid w:val="00A26384"/>
    <w:rsid w:val="00A266EE"/>
    <w:rsid w:val="00A30F0A"/>
    <w:rsid w:val="00A3123A"/>
    <w:rsid w:val="00A31C7A"/>
    <w:rsid w:val="00A32F19"/>
    <w:rsid w:val="00A339EE"/>
    <w:rsid w:val="00A34F7E"/>
    <w:rsid w:val="00A36017"/>
    <w:rsid w:val="00A36E79"/>
    <w:rsid w:val="00A374A4"/>
    <w:rsid w:val="00A378B2"/>
    <w:rsid w:val="00A37E96"/>
    <w:rsid w:val="00A40C7A"/>
    <w:rsid w:val="00A426C5"/>
    <w:rsid w:val="00A4271B"/>
    <w:rsid w:val="00A4319E"/>
    <w:rsid w:val="00A43474"/>
    <w:rsid w:val="00A43F2A"/>
    <w:rsid w:val="00A44515"/>
    <w:rsid w:val="00A44A0E"/>
    <w:rsid w:val="00A44A61"/>
    <w:rsid w:val="00A4676B"/>
    <w:rsid w:val="00A47066"/>
    <w:rsid w:val="00A4768B"/>
    <w:rsid w:val="00A47D64"/>
    <w:rsid w:val="00A47E80"/>
    <w:rsid w:val="00A47FAE"/>
    <w:rsid w:val="00A50189"/>
    <w:rsid w:val="00A50578"/>
    <w:rsid w:val="00A51679"/>
    <w:rsid w:val="00A5196F"/>
    <w:rsid w:val="00A51ECE"/>
    <w:rsid w:val="00A51FBB"/>
    <w:rsid w:val="00A522D3"/>
    <w:rsid w:val="00A52342"/>
    <w:rsid w:val="00A52616"/>
    <w:rsid w:val="00A52886"/>
    <w:rsid w:val="00A52C41"/>
    <w:rsid w:val="00A540D0"/>
    <w:rsid w:val="00A54609"/>
    <w:rsid w:val="00A56AEB"/>
    <w:rsid w:val="00A56BBA"/>
    <w:rsid w:val="00A56FE3"/>
    <w:rsid w:val="00A57C4E"/>
    <w:rsid w:val="00A60529"/>
    <w:rsid w:val="00A60D95"/>
    <w:rsid w:val="00A617BA"/>
    <w:rsid w:val="00A6244B"/>
    <w:rsid w:val="00A62526"/>
    <w:rsid w:val="00A6321E"/>
    <w:rsid w:val="00A643FE"/>
    <w:rsid w:val="00A64973"/>
    <w:rsid w:val="00A64D97"/>
    <w:rsid w:val="00A65101"/>
    <w:rsid w:val="00A65498"/>
    <w:rsid w:val="00A657FA"/>
    <w:rsid w:val="00A66AD3"/>
    <w:rsid w:val="00A66C80"/>
    <w:rsid w:val="00A67DBD"/>
    <w:rsid w:val="00A701DD"/>
    <w:rsid w:val="00A70238"/>
    <w:rsid w:val="00A70A70"/>
    <w:rsid w:val="00A722D9"/>
    <w:rsid w:val="00A7325F"/>
    <w:rsid w:val="00A735E8"/>
    <w:rsid w:val="00A73AE8"/>
    <w:rsid w:val="00A74290"/>
    <w:rsid w:val="00A746A5"/>
    <w:rsid w:val="00A7485E"/>
    <w:rsid w:val="00A778A1"/>
    <w:rsid w:val="00A801FC"/>
    <w:rsid w:val="00A80685"/>
    <w:rsid w:val="00A806F4"/>
    <w:rsid w:val="00A811EB"/>
    <w:rsid w:val="00A814D4"/>
    <w:rsid w:val="00A81EAE"/>
    <w:rsid w:val="00A83297"/>
    <w:rsid w:val="00A83F5C"/>
    <w:rsid w:val="00A83F5F"/>
    <w:rsid w:val="00A841CC"/>
    <w:rsid w:val="00A84704"/>
    <w:rsid w:val="00A862EA"/>
    <w:rsid w:val="00A870F6"/>
    <w:rsid w:val="00A8711F"/>
    <w:rsid w:val="00A90190"/>
    <w:rsid w:val="00A91E70"/>
    <w:rsid w:val="00A9287D"/>
    <w:rsid w:val="00A935B1"/>
    <w:rsid w:val="00A93846"/>
    <w:rsid w:val="00A94358"/>
    <w:rsid w:val="00A9452C"/>
    <w:rsid w:val="00A94D44"/>
    <w:rsid w:val="00A95595"/>
    <w:rsid w:val="00A968EF"/>
    <w:rsid w:val="00A96B6B"/>
    <w:rsid w:val="00A97D71"/>
    <w:rsid w:val="00A97E8C"/>
    <w:rsid w:val="00AA12BA"/>
    <w:rsid w:val="00AA15ED"/>
    <w:rsid w:val="00AA1702"/>
    <w:rsid w:val="00AA1BD2"/>
    <w:rsid w:val="00AA2587"/>
    <w:rsid w:val="00AA26FF"/>
    <w:rsid w:val="00AA2729"/>
    <w:rsid w:val="00AA330F"/>
    <w:rsid w:val="00AA46F0"/>
    <w:rsid w:val="00AA4E1A"/>
    <w:rsid w:val="00AA4F3B"/>
    <w:rsid w:val="00AA5F51"/>
    <w:rsid w:val="00AA6701"/>
    <w:rsid w:val="00AA68C4"/>
    <w:rsid w:val="00AA6A01"/>
    <w:rsid w:val="00AA6FF9"/>
    <w:rsid w:val="00AB0854"/>
    <w:rsid w:val="00AB0969"/>
    <w:rsid w:val="00AB2C1F"/>
    <w:rsid w:val="00AB323E"/>
    <w:rsid w:val="00AB34A3"/>
    <w:rsid w:val="00AB3911"/>
    <w:rsid w:val="00AB486D"/>
    <w:rsid w:val="00AB521B"/>
    <w:rsid w:val="00AB5363"/>
    <w:rsid w:val="00AB570C"/>
    <w:rsid w:val="00AB5B7D"/>
    <w:rsid w:val="00AB6243"/>
    <w:rsid w:val="00AB627B"/>
    <w:rsid w:val="00AB76F6"/>
    <w:rsid w:val="00AB78E6"/>
    <w:rsid w:val="00AB7919"/>
    <w:rsid w:val="00AC04B8"/>
    <w:rsid w:val="00AC05A7"/>
    <w:rsid w:val="00AC0F00"/>
    <w:rsid w:val="00AC1E72"/>
    <w:rsid w:val="00AC21B9"/>
    <w:rsid w:val="00AC2F60"/>
    <w:rsid w:val="00AC2FF3"/>
    <w:rsid w:val="00AC30BD"/>
    <w:rsid w:val="00AC3398"/>
    <w:rsid w:val="00AC3CDF"/>
    <w:rsid w:val="00AC41F0"/>
    <w:rsid w:val="00AC4C8D"/>
    <w:rsid w:val="00AC525C"/>
    <w:rsid w:val="00AC56BF"/>
    <w:rsid w:val="00AC5D88"/>
    <w:rsid w:val="00AC5E5A"/>
    <w:rsid w:val="00AC6FAD"/>
    <w:rsid w:val="00AC717C"/>
    <w:rsid w:val="00AC7ADD"/>
    <w:rsid w:val="00AC7D8A"/>
    <w:rsid w:val="00AD08A7"/>
    <w:rsid w:val="00AD121C"/>
    <w:rsid w:val="00AD2B2E"/>
    <w:rsid w:val="00AD3FBE"/>
    <w:rsid w:val="00AD4331"/>
    <w:rsid w:val="00AD5442"/>
    <w:rsid w:val="00AD5506"/>
    <w:rsid w:val="00AD585A"/>
    <w:rsid w:val="00AD7524"/>
    <w:rsid w:val="00AD772D"/>
    <w:rsid w:val="00AD7C67"/>
    <w:rsid w:val="00AD7DA5"/>
    <w:rsid w:val="00AE0517"/>
    <w:rsid w:val="00AE073A"/>
    <w:rsid w:val="00AE106D"/>
    <w:rsid w:val="00AE140D"/>
    <w:rsid w:val="00AE1D57"/>
    <w:rsid w:val="00AE21C6"/>
    <w:rsid w:val="00AE2E20"/>
    <w:rsid w:val="00AE3115"/>
    <w:rsid w:val="00AE3380"/>
    <w:rsid w:val="00AE3BC6"/>
    <w:rsid w:val="00AE3C7D"/>
    <w:rsid w:val="00AE470C"/>
    <w:rsid w:val="00AE56FA"/>
    <w:rsid w:val="00AE5E33"/>
    <w:rsid w:val="00AE6FE1"/>
    <w:rsid w:val="00AE7E80"/>
    <w:rsid w:val="00AF00BB"/>
    <w:rsid w:val="00AF047E"/>
    <w:rsid w:val="00AF09BE"/>
    <w:rsid w:val="00AF0E75"/>
    <w:rsid w:val="00AF226F"/>
    <w:rsid w:val="00AF23E2"/>
    <w:rsid w:val="00AF270F"/>
    <w:rsid w:val="00AF2CA3"/>
    <w:rsid w:val="00AF3CAB"/>
    <w:rsid w:val="00AF4129"/>
    <w:rsid w:val="00AF58EC"/>
    <w:rsid w:val="00AF6414"/>
    <w:rsid w:val="00AF65A4"/>
    <w:rsid w:val="00AF6E1E"/>
    <w:rsid w:val="00AF7D57"/>
    <w:rsid w:val="00AF7D97"/>
    <w:rsid w:val="00B00281"/>
    <w:rsid w:val="00B00CFE"/>
    <w:rsid w:val="00B01AD5"/>
    <w:rsid w:val="00B02AE1"/>
    <w:rsid w:val="00B0354C"/>
    <w:rsid w:val="00B0380D"/>
    <w:rsid w:val="00B056CF"/>
    <w:rsid w:val="00B05B8A"/>
    <w:rsid w:val="00B05BB4"/>
    <w:rsid w:val="00B0703F"/>
    <w:rsid w:val="00B07B2A"/>
    <w:rsid w:val="00B10ACE"/>
    <w:rsid w:val="00B10ED4"/>
    <w:rsid w:val="00B11B6E"/>
    <w:rsid w:val="00B11EFD"/>
    <w:rsid w:val="00B12C9E"/>
    <w:rsid w:val="00B12DDD"/>
    <w:rsid w:val="00B130B3"/>
    <w:rsid w:val="00B130EF"/>
    <w:rsid w:val="00B136F1"/>
    <w:rsid w:val="00B14E22"/>
    <w:rsid w:val="00B15C52"/>
    <w:rsid w:val="00B15DF9"/>
    <w:rsid w:val="00B170BE"/>
    <w:rsid w:val="00B17452"/>
    <w:rsid w:val="00B177C2"/>
    <w:rsid w:val="00B17D51"/>
    <w:rsid w:val="00B206FA"/>
    <w:rsid w:val="00B210CE"/>
    <w:rsid w:val="00B21363"/>
    <w:rsid w:val="00B2167E"/>
    <w:rsid w:val="00B22C75"/>
    <w:rsid w:val="00B23D00"/>
    <w:rsid w:val="00B2429E"/>
    <w:rsid w:val="00B24BCE"/>
    <w:rsid w:val="00B250BF"/>
    <w:rsid w:val="00B25DB9"/>
    <w:rsid w:val="00B25E21"/>
    <w:rsid w:val="00B2603F"/>
    <w:rsid w:val="00B27256"/>
    <w:rsid w:val="00B27D56"/>
    <w:rsid w:val="00B3107C"/>
    <w:rsid w:val="00B31A4F"/>
    <w:rsid w:val="00B323EF"/>
    <w:rsid w:val="00B33446"/>
    <w:rsid w:val="00B3386E"/>
    <w:rsid w:val="00B34127"/>
    <w:rsid w:val="00B34EA1"/>
    <w:rsid w:val="00B35423"/>
    <w:rsid w:val="00B36614"/>
    <w:rsid w:val="00B3664D"/>
    <w:rsid w:val="00B368D2"/>
    <w:rsid w:val="00B36FE9"/>
    <w:rsid w:val="00B402F1"/>
    <w:rsid w:val="00B4039B"/>
    <w:rsid w:val="00B40523"/>
    <w:rsid w:val="00B410E1"/>
    <w:rsid w:val="00B423D6"/>
    <w:rsid w:val="00B42942"/>
    <w:rsid w:val="00B42E5D"/>
    <w:rsid w:val="00B43400"/>
    <w:rsid w:val="00B43A3B"/>
    <w:rsid w:val="00B4478B"/>
    <w:rsid w:val="00B44C16"/>
    <w:rsid w:val="00B46018"/>
    <w:rsid w:val="00B467F9"/>
    <w:rsid w:val="00B46B8E"/>
    <w:rsid w:val="00B46D2C"/>
    <w:rsid w:val="00B470AD"/>
    <w:rsid w:val="00B47B3A"/>
    <w:rsid w:val="00B47B80"/>
    <w:rsid w:val="00B47BD3"/>
    <w:rsid w:val="00B5026A"/>
    <w:rsid w:val="00B506CA"/>
    <w:rsid w:val="00B50F43"/>
    <w:rsid w:val="00B50F82"/>
    <w:rsid w:val="00B51B43"/>
    <w:rsid w:val="00B52457"/>
    <w:rsid w:val="00B535EC"/>
    <w:rsid w:val="00B54599"/>
    <w:rsid w:val="00B55B6C"/>
    <w:rsid w:val="00B55DF7"/>
    <w:rsid w:val="00B5645E"/>
    <w:rsid w:val="00B567AF"/>
    <w:rsid w:val="00B573C1"/>
    <w:rsid w:val="00B575ED"/>
    <w:rsid w:val="00B6046B"/>
    <w:rsid w:val="00B60713"/>
    <w:rsid w:val="00B60CEF"/>
    <w:rsid w:val="00B61F3E"/>
    <w:rsid w:val="00B625D6"/>
    <w:rsid w:val="00B627B8"/>
    <w:rsid w:val="00B62A16"/>
    <w:rsid w:val="00B62CA2"/>
    <w:rsid w:val="00B636CD"/>
    <w:rsid w:val="00B63CE0"/>
    <w:rsid w:val="00B651FC"/>
    <w:rsid w:val="00B65B99"/>
    <w:rsid w:val="00B66549"/>
    <w:rsid w:val="00B67325"/>
    <w:rsid w:val="00B678E6"/>
    <w:rsid w:val="00B67920"/>
    <w:rsid w:val="00B67B41"/>
    <w:rsid w:val="00B67D48"/>
    <w:rsid w:val="00B67E78"/>
    <w:rsid w:val="00B71793"/>
    <w:rsid w:val="00B72063"/>
    <w:rsid w:val="00B7235B"/>
    <w:rsid w:val="00B72DDE"/>
    <w:rsid w:val="00B730B9"/>
    <w:rsid w:val="00B74435"/>
    <w:rsid w:val="00B74775"/>
    <w:rsid w:val="00B75852"/>
    <w:rsid w:val="00B75B06"/>
    <w:rsid w:val="00B76CBE"/>
    <w:rsid w:val="00B80F21"/>
    <w:rsid w:val="00B8149E"/>
    <w:rsid w:val="00B818B0"/>
    <w:rsid w:val="00B82386"/>
    <w:rsid w:val="00B83FE0"/>
    <w:rsid w:val="00B8456E"/>
    <w:rsid w:val="00B85453"/>
    <w:rsid w:val="00B854A2"/>
    <w:rsid w:val="00B85718"/>
    <w:rsid w:val="00B85D74"/>
    <w:rsid w:val="00B86B54"/>
    <w:rsid w:val="00B8731A"/>
    <w:rsid w:val="00B87383"/>
    <w:rsid w:val="00B879DD"/>
    <w:rsid w:val="00B906F9"/>
    <w:rsid w:val="00B91B9D"/>
    <w:rsid w:val="00B91F2F"/>
    <w:rsid w:val="00B929AB"/>
    <w:rsid w:val="00B92D96"/>
    <w:rsid w:val="00B93247"/>
    <w:rsid w:val="00B94084"/>
    <w:rsid w:val="00B94862"/>
    <w:rsid w:val="00B94AF2"/>
    <w:rsid w:val="00B94DF4"/>
    <w:rsid w:val="00B9510F"/>
    <w:rsid w:val="00B951DC"/>
    <w:rsid w:val="00B952FD"/>
    <w:rsid w:val="00B95973"/>
    <w:rsid w:val="00B95A22"/>
    <w:rsid w:val="00B96166"/>
    <w:rsid w:val="00B96306"/>
    <w:rsid w:val="00B967CE"/>
    <w:rsid w:val="00B96AE4"/>
    <w:rsid w:val="00B96CCF"/>
    <w:rsid w:val="00BA032D"/>
    <w:rsid w:val="00BA0883"/>
    <w:rsid w:val="00BA09BF"/>
    <w:rsid w:val="00BA1516"/>
    <w:rsid w:val="00BA1A74"/>
    <w:rsid w:val="00BA1B95"/>
    <w:rsid w:val="00BA1FB6"/>
    <w:rsid w:val="00BA20AA"/>
    <w:rsid w:val="00BA2158"/>
    <w:rsid w:val="00BA3360"/>
    <w:rsid w:val="00BA36ED"/>
    <w:rsid w:val="00BA3815"/>
    <w:rsid w:val="00BA45F2"/>
    <w:rsid w:val="00BA5528"/>
    <w:rsid w:val="00BA5A13"/>
    <w:rsid w:val="00BA5C8C"/>
    <w:rsid w:val="00BA6E4C"/>
    <w:rsid w:val="00BA6EF0"/>
    <w:rsid w:val="00BA72BD"/>
    <w:rsid w:val="00BA762C"/>
    <w:rsid w:val="00BB0356"/>
    <w:rsid w:val="00BB04D0"/>
    <w:rsid w:val="00BB070F"/>
    <w:rsid w:val="00BB1169"/>
    <w:rsid w:val="00BB18B8"/>
    <w:rsid w:val="00BB1B3E"/>
    <w:rsid w:val="00BB2741"/>
    <w:rsid w:val="00BB3F59"/>
    <w:rsid w:val="00BB4BBA"/>
    <w:rsid w:val="00BB4EEE"/>
    <w:rsid w:val="00BB61F9"/>
    <w:rsid w:val="00BB6A17"/>
    <w:rsid w:val="00BB6D66"/>
    <w:rsid w:val="00BB72DB"/>
    <w:rsid w:val="00BB7C2E"/>
    <w:rsid w:val="00BB7D02"/>
    <w:rsid w:val="00BC1F42"/>
    <w:rsid w:val="00BC2FDA"/>
    <w:rsid w:val="00BC3675"/>
    <w:rsid w:val="00BC3792"/>
    <w:rsid w:val="00BC3DFA"/>
    <w:rsid w:val="00BC4BE6"/>
    <w:rsid w:val="00BC587E"/>
    <w:rsid w:val="00BC66A2"/>
    <w:rsid w:val="00BC6D34"/>
    <w:rsid w:val="00BC6D99"/>
    <w:rsid w:val="00BC7A32"/>
    <w:rsid w:val="00BD088D"/>
    <w:rsid w:val="00BD09CB"/>
    <w:rsid w:val="00BD1594"/>
    <w:rsid w:val="00BD261A"/>
    <w:rsid w:val="00BD2AF3"/>
    <w:rsid w:val="00BD30C3"/>
    <w:rsid w:val="00BD321C"/>
    <w:rsid w:val="00BD3F17"/>
    <w:rsid w:val="00BD4372"/>
    <w:rsid w:val="00BD4598"/>
    <w:rsid w:val="00BD6185"/>
    <w:rsid w:val="00BD624F"/>
    <w:rsid w:val="00BE01C6"/>
    <w:rsid w:val="00BE0305"/>
    <w:rsid w:val="00BE06F7"/>
    <w:rsid w:val="00BE0E51"/>
    <w:rsid w:val="00BE1125"/>
    <w:rsid w:val="00BE1218"/>
    <w:rsid w:val="00BE1402"/>
    <w:rsid w:val="00BE1471"/>
    <w:rsid w:val="00BE16BD"/>
    <w:rsid w:val="00BE1812"/>
    <w:rsid w:val="00BE2CB8"/>
    <w:rsid w:val="00BE3224"/>
    <w:rsid w:val="00BE4903"/>
    <w:rsid w:val="00BE56D1"/>
    <w:rsid w:val="00BE57E8"/>
    <w:rsid w:val="00BE5DE0"/>
    <w:rsid w:val="00BE5E81"/>
    <w:rsid w:val="00BE6C0F"/>
    <w:rsid w:val="00BE73F3"/>
    <w:rsid w:val="00BE7CAB"/>
    <w:rsid w:val="00BF0D6F"/>
    <w:rsid w:val="00BF19D6"/>
    <w:rsid w:val="00BF1AC9"/>
    <w:rsid w:val="00BF2685"/>
    <w:rsid w:val="00BF2C41"/>
    <w:rsid w:val="00BF3DFD"/>
    <w:rsid w:val="00BF4D2D"/>
    <w:rsid w:val="00BF6593"/>
    <w:rsid w:val="00BF6A50"/>
    <w:rsid w:val="00BF712A"/>
    <w:rsid w:val="00BF744B"/>
    <w:rsid w:val="00C001E8"/>
    <w:rsid w:val="00C00CF6"/>
    <w:rsid w:val="00C0166C"/>
    <w:rsid w:val="00C02534"/>
    <w:rsid w:val="00C02DAA"/>
    <w:rsid w:val="00C031A1"/>
    <w:rsid w:val="00C03848"/>
    <w:rsid w:val="00C040DC"/>
    <w:rsid w:val="00C045AC"/>
    <w:rsid w:val="00C04823"/>
    <w:rsid w:val="00C04946"/>
    <w:rsid w:val="00C05296"/>
    <w:rsid w:val="00C05644"/>
    <w:rsid w:val="00C068F9"/>
    <w:rsid w:val="00C06FC8"/>
    <w:rsid w:val="00C072A7"/>
    <w:rsid w:val="00C07995"/>
    <w:rsid w:val="00C07A42"/>
    <w:rsid w:val="00C110C1"/>
    <w:rsid w:val="00C11391"/>
    <w:rsid w:val="00C113C4"/>
    <w:rsid w:val="00C11775"/>
    <w:rsid w:val="00C11EEE"/>
    <w:rsid w:val="00C12254"/>
    <w:rsid w:val="00C12B8D"/>
    <w:rsid w:val="00C12E90"/>
    <w:rsid w:val="00C1306F"/>
    <w:rsid w:val="00C143CF"/>
    <w:rsid w:val="00C14ACC"/>
    <w:rsid w:val="00C15A53"/>
    <w:rsid w:val="00C15D70"/>
    <w:rsid w:val="00C167F6"/>
    <w:rsid w:val="00C170DF"/>
    <w:rsid w:val="00C20B62"/>
    <w:rsid w:val="00C20DE6"/>
    <w:rsid w:val="00C20E44"/>
    <w:rsid w:val="00C214FE"/>
    <w:rsid w:val="00C225D6"/>
    <w:rsid w:val="00C23023"/>
    <w:rsid w:val="00C23081"/>
    <w:rsid w:val="00C23087"/>
    <w:rsid w:val="00C233D2"/>
    <w:rsid w:val="00C23420"/>
    <w:rsid w:val="00C243C4"/>
    <w:rsid w:val="00C24460"/>
    <w:rsid w:val="00C2475D"/>
    <w:rsid w:val="00C26CE8"/>
    <w:rsid w:val="00C26EB0"/>
    <w:rsid w:val="00C279CF"/>
    <w:rsid w:val="00C27A5C"/>
    <w:rsid w:val="00C304D2"/>
    <w:rsid w:val="00C315DF"/>
    <w:rsid w:val="00C316E5"/>
    <w:rsid w:val="00C31753"/>
    <w:rsid w:val="00C3219F"/>
    <w:rsid w:val="00C32B04"/>
    <w:rsid w:val="00C330DD"/>
    <w:rsid w:val="00C341D2"/>
    <w:rsid w:val="00C343FF"/>
    <w:rsid w:val="00C34A4C"/>
    <w:rsid w:val="00C350D7"/>
    <w:rsid w:val="00C358FA"/>
    <w:rsid w:val="00C35A0B"/>
    <w:rsid w:val="00C369E9"/>
    <w:rsid w:val="00C36E9B"/>
    <w:rsid w:val="00C36F0A"/>
    <w:rsid w:val="00C3731D"/>
    <w:rsid w:val="00C37964"/>
    <w:rsid w:val="00C402CA"/>
    <w:rsid w:val="00C404BB"/>
    <w:rsid w:val="00C415F2"/>
    <w:rsid w:val="00C420E5"/>
    <w:rsid w:val="00C42BD5"/>
    <w:rsid w:val="00C44252"/>
    <w:rsid w:val="00C457F3"/>
    <w:rsid w:val="00C45918"/>
    <w:rsid w:val="00C45B07"/>
    <w:rsid w:val="00C45E97"/>
    <w:rsid w:val="00C46E8D"/>
    <w:rsid w:val="00C471B0"/>
    <w:rsid w:val="00C47F9B"/>
    <w:rsid w:val="00C50941"/>
    <w:rsid w:val="00C50B36"/>
    <w:rsid w:val="00C52105"/>
    <w:rsid w:val="00C543F1"/>
    <w:rsid w:val="00C548A9"/>
    <w:rsid w:val="00C551B7"/>
    <w:rsid w:val="00C551F8"/>
    <w:rsid w:val="00C55A7A"/>
    <w:rsid w:val="00C55C86"/>
    <w:rsid w:val="00C56978"/>
    <w:rsid w:val="00C5740F"/>
    <w:rsid w:val="00C57C8A"/>
    <w:rsid w:val="00C57EC7"/>
    <w:rsid w:val="00C6023D"/>
    <w:rsid w:val="00C602BE"/>
    <w:rsid w:val="00C61154"/>
    <w:rsid w:val="00C6237F"/>
    <w:rsid w:val="00C62D2A"/>
    <w:rsid w:val="00C63E55"/>
    <w:rsid w:val="00C64995"/>
    <w:rsid w:val="00C64A6B"/>
    <w:rsid w:val="00C6502A"/>
    <w:rsid w:val="00C6584C"/>
    <w:rsid w:val="00C658C3"/>
    <w:rsid w:val="00C664BA"/>
    <w:rsid w:val="00C66AF4"/>
    <w:rsid w:val="00C67303"/>
    <w:rsid w:val="00C67DF7"/>
    <w:rsid w:val="00C70023"/>
    <w:rsid w:val="00C70A85"/>
    <w:rsid w:val="00C70E7E"/>
    <w:rsid w:val="00C71F89"/>
    <w:rsid w:val="00C720F0"/>
    <w:rsid w:val="00C72F15"/>
    <w:rsid w:val="00C73E7C"/>
    <w:rsid w:val="00C748A4"/>
    <w:rsid w:val="00C75292"/>
    <w:rsid w:val="00C752E2"/>
    <w:rsid w:val="00C752F3"/>
    <w:rsid w:val="00C75390"/>
    <w:rsid w:val="00C75926"/>
    <w:rsid w:val="00C75952"/>
    <w:rsid w:val="00C75ABE"/>
    <w:rsid w:val="00C75C70"/>
    <w:rsid w:val="00C75E89"/>
    <w:rsid w:val="00C7605D"/>
    <w:rsid w:val="00C76501"/>
    <w:rsid w:val="00C76544"/>
    <w:rsid w:val="00C7663C"/>
    <w:rsid w:val="00C76675"/>
    <w:rsid w:val="00C76D5C"/>
    <w:rsid w:val="00C77BCF"/>
    <w:rsid w:val="00C80BC6"/>
    <w:rsid w:val="00C80F99"/>
    <w:rsid w:val="00C8109E"/>
    <w:rsid w:val="00C813E5"/>
    <w:rsid w:val="00C814C0"/>
    <w:rsid w:val="00C815BD"/>
    <w:rsid w:val="00C81CCB"/>
    <w:rsid w:val="00C81EB2"/>
    <w:rsid w:val="00C8271A"/>
    <w:rsid w:val="00C82E3D"/>
    <w:rsid w:val="00C836E5"/>
    <w:rsid w:val="00C84F5B"/>
    <w:rsid w:val="00C85987"/>
    <w:rsid w:val="00C85A0A"/>
    <w:rsid w:val="00C85EB2"/>
    <w:rsid w:val="00C86662"/>
    <w:rsid w:val="00C9007C"/>
    <w:rsid w:val="00C902A9"/>
    <w:rsid w:val="00C90493"/>
    <w:rsid w:val="00C90BF7"/>
    <w:rsid w:val="00C90CA7"/>
    <w:rsid w:val="00C9198F"/>
    <w:rsid w:val="00C91F35"/>
    <w:rsid w:val="00C92081"/>
    <w:rsid w:val="00C92573"/>
    <w:rsid w:val="00C92A02"/>
    <w:rsid w:val="00C92D66"/>
    <w:rsid w:val="00C937E8"/>
    <w:rsid w:val="00C94C9E"/>
    <w:rsid w:val="00C9515B"/>
    <w:rsid w:val="00C955C3"/>
    <w:rsid w:val="00C96202"/>
    <w:rsid w:val="00C96626"/>
    <w:rsid w:val="00C96A15"/>
    <w:rsid w:val="00C96AD1"/>
    <w:rsid w:val="00C9732E"/>
    <w:rsid w:val="00C97809"/>
    <w:rsid w:val="00C97D88"/>
    <w:rsid w:val="00CA00D9"/>
    <w:rsid w:val="00CA025D"/>
    <w:rsid w:val="00CA02DA"/>
    <w:rsid w:val="00CA0450"/>
    <w:rsid w:val="00CA0BD3"/>
    <w:rsid w:val="00CA0CE2"/>
    <w:rsid w:val="00CA0CFE"/>
    <w:rsid w:val="00CA0DBB"/>
    <w:rsid w:val="00CA0FA9"/>
    <w:rsid w:val="00CA1B8C"/>
    <w:rsid w:val="00CA32D3"/>
    <w:rsid w:val="00CA3EED"/>
    <w:rsid w:val="00CA40EB"/>
    <w:rsid w:val="00CA469E"/>
    <w:rsid w:val="00CA5929"/>
    <w:rsid w:val="00CA5AF4"/>
    <w:rsid w:val="00CA6525"/>
    <w:rsid w:val="00CA6C4A"/>
    <w:rsid w:val="00CA70D1"/>
    <w:rsid w:val="00CA777B"/>
    <w:rsid w:val="00CB014A"/>
    <w:rsid w:val="00CB04B6"/>
    <w:rsid w:val="00CB1399"/>
    <w:rsid w:val="00CB1A08"/>
    <w:rsid w:val="00CB204C"/>
    <w:rsid w:val="00CB2A1A"/>
    <w:rsid w:val="00CB2B83"/>
    <w:rsid w:val="00CB2C27"/>
    <w:rsid w:val="00CB34AD"/>
    <w:rsid w:val="00CB41FD"/>
    <w:rsid w:val="00CB42EF"/>
    <w:rsid w:val="00CB43CB"/>
    <w:rsid w:val="00CB464E"/>
    <w:rsid w:val="00CB48CA"/>
    <w:rsid w:val="00CC0AB1"/>
    <w:rsid w:val="00CC110D"/>
    <w:rsid w:val="00CC131A"/>
    <w:rsid w:val="00CC15D9"/>
    <w:rsid w:val="00CC1BA3"/>
    <w:rsid w:val="00CC27F4"/>
    <w:rsid w:val="00CC2F90"/>
    <w:rsid w:val="00CC3268"/>
    <w:rsid w:val="00CC358B"/>
    <w:rsid w:val="00CC3C80"/>
    <w:rsid w:val="00CC46C4"/>
    <w:rsid w:val="00CC4B55"/>
    <w:rsid w:val="00CC4F50"/>
    <w:rsid w:val="00CC4FF9"/>
    <w:rsid w:val="00CC541B"/>
    <w:rsid w:val="00CC5BA1"/>
    <w:rsid w:val="00CC75E3"/>
    <w:rsid w:val="00CD01F8"/>
    <w:rsid w:val="00CD06DA"/>
    <w:rsid w:val="00CD0878"/>
    <w:rsid w:val="00CD08CD"/>
    <w:rsid w:val="00CD0BA7"/>
    <w:rsid w:val="00CD1A3F"/>
    <w:rsid w:val="00CD28A0"/>
    <w:rsid w:val="00CD2D22"/>
    <w:rsid w:val="00CD2D4B"/>
    <w:rsid w:val="00CD2F56"/>
    <w:rsid w:val="00CD3D59"/>
    <w:rsid w:val="00CD486E"/>
    <w:rsid w:val="00CD5705"/>
    <w:rsid w:val="00CD5797"/>
    <w:rsid w:val="00CD62C3"/>
    <w:rsid w:val="00CD676D"/>
    <w:rsid w:val="00CD711C"/>
    <w:rsid w:val="00CD7C42"/>
    <w:rsid w:val="00CE0C68"/>
    <w:rsid w:val="00CE0FC1"/>
    <w:rsid w:val="00CE1C9B"/>
    <w:rsid w:val="00CE1ECB"/>
    <w:rsid w:val="00CE2495"/>
    <w:rsid w:val="00CE3094"/>
    <w:rsid w:val="00CE31DA"/>
    <w:rsid w:val="00CE3C97"/>
    <w:rsid w:val="00CE4772"/>
    <w:rsid w:val="00CE4BB5"/>
    <w:rsid w:val="00CE4E9A"/>
    <w:rsid w:val="00CE522C"/>
    <w:rsid w:val="00CE5A5B"/>
    <w:rsid w:val="00CE5B1D"/>
    <w:rsid w:val="00CE690F"/>
    <w:rsid w:val="00CE6B2F"/>
    <w:rsid w:val="00CE70FE"/>
    <w:rsid w:val="00CF001F"/>
    <w:rsid w:val="00CF027E"/>
    <w:rsid w:val="00CF0299"/>
    <w:rsid w:val="00CF14F4"/>
    <w:rsid w:val="00CF1825"/>
    <w:rsid w:val="00CF1BC1"/>
    <w:rsid w:val="00CF25A9"/>
    <w:rsid w:val="00CF27C8"/>
    <w:rsid w:val="00CF2DC4"/>
    <w:rsid w:val="00CF2EF1"/>
    <w:rsid w:val="00CF3611"/>
    <w:rsid w:val="00CF39CC"/>
    <w:rsid w:val="00CF3A9D"/>
    <w:rsid w:val="00CF4687"/>
    <w:rsid w:val="00CF4994"/>
    <w:rsid w:val="00CF4E8C"/>
    <w:rsid w:val="00CF5AE1"/>
    <w:rsid w:val="00CF650D"/>
    <w:rsid w:val="00CF6899"/>
    <w:rsid w:val="00CF6EC7"/>
    <w:rsid w:val="00CF7243"/>
    <w:rsid w:val="00CF74E6"/>
    <w:rsid w:val="00CF79E7"/>
    <w:rsid w:val="00CF7E50"/>
    <w:rsid w:val="00D009F6"/>
    <w:rsid w:val="00D01404"/>
    <w:rsid w:val="00D03365"/>
    <w:rsid w:val="00D042B5"/>
    <w:rsid w:val="00D047C2"/>
    <w:rsid w:val="00D04B22"/>
    <w:rsid w:val="00D0535C"/>
    <w:rsid w:val="00D05F6A"/>
    <w:rsid w:val="00D061ED"/>
    <w:rsid w:val="00D06869"/>
    <w:rsid w:val="00D0799E"/>
    <w:rsid w:val="00D10895"/>
    <w:rsid w:val="00D10CEF"/>
    <w:rsid w:val="00D11C2F"/>
    <w:rsid w:val="00D12B6E"/>
    <w:rsid w:val="00D13716"/>
    <w:rsid w:val="00D13B9B"/>
    <w:rsid w:val="00D13BEB"/>
    <w:rsid w:val="00D13F16"/>
    <w:rsid w:val="00D146EE"/>
    <w:rsid w:val="00D148B9"/>
    <w:rsid w:val="00D15232"/>
    <w:rsid w:val="00D153A1"/>
    <w:rsid w:val="00D15AF2"/>
    <w:rsid w:val="00D1690A"/>
    <w:rsid w:val="00D17300"/>
    <w:rsid w:val="00D17A0B"/>
    <w:rsid w:val="00D17AB8"/>
    <w:rsid w:val="00D17E94"/>
    <w:rsid w:val="00D211CB"/>
    <w:rsid w:val="00D2165A"/>
    <w:rsid w:val="00D218AC"/>
    <w:rsid w:val="00D21C30"/>
    <w:rsid w:val="00D220DD"/>
    <w:rsid w:val="00D233E6"/>
    <w:rsid w:val="00D2384A"/>
    <w:rsid w:val="00D239E2"/>
    <w:rsid w:val="00D24299"/>
    <w:rsid w:val="00D254F5"/>
    <w:rsid w:val="00D25DDD"/>
    <w:rsid w:val="00D261C4"/>
    <w:rsid w:val="00D26718"/>
    <w:rsid w:val="00D2701E"/>
    <w:rsid w:val="00D2716D"/>
    <w:rsid w:val="00D27409"/>
    <w:rsid w:val="00D27B82"/>
    <w:rsid w:val="00D304B5"/>
    <w:rsid w:val="00D31426"/>
    <w:rsid w:val="00D31BE6"/>
    <w:rsid w:val="00D31C61"/>
    <w:rsid w:val="00D321A0"/>
    <w:rsid w:val="00D32882"/>
    <w:rsid w:val="00D329E0"/>
    <w:rsid w:val="00D3392D"/>
    <w:rsid w:val="00D33FF5"/>
    <w:rsid w:val="00D34368"/>
    <w:rsid w:val="00D34495"/>
    <w:rsid w:val="00D345F7"/>
    <w:rsid w:val="00D35410"/>
    <w:rsid w:val="00D358D6"/>
    <w:rsid w:val="00D35AE3"/>
    <w:rsid w:val="00D3618D"/>
    <w:rsid w:val="00D361C6"/>
    <w:rsid w:val="00D36465"/>
    <w:rsid w:val="00D403A2"/>
    <w:rsid w:val="00D4082F"/>
    <w:rsid w:val="00D41E6F"/>
    <w:rsid w:val="00D43241"/>
    <w:rsid w:val="00D4367E"/>
    <w:rsid w:val="00D43FA3"/>
    <w:rsid w:val="00D44208"/>
    <w:rsid w:val="00D4594A"/>
    <w:rsid w:val="00D45BDF"/>
    <w:rsid w:val="00D4669C"/>
    <w:rsid w:val="00D46C4F"/>
    <w:rsid w:val="00D46F5F"/>
    <w:rsid w:val="00D47F2F"/>
    <w:rsid w:val="00D5151E"/>
    <w:rsid w:val="00D5191B"/>
    <w:rsid w:val="00D5200C"/>
    <w:rsid w:val="00D52D18"/>
    <w:rsid w:val="00D52D6D"/>
    <w:rsid w:val="00D52E57"/>
    <w:rsid w:val="00D5342E"/>
    <w:rsid w:val="00D535BC"/>
    <w:rsid w:val="00D53C5D"/>
    <w:rsid w:val="00D53E65"/>
    <w:rsid w:val="00D53ED2"/>
    <w:rsid w:val="00D56418"/>
    <w:rsid w:val="00D56B98"/>
    <w:rsid w:val="00D56D43"/>
    <w:rsid w:val="00D575D0"/>
    <w:rsid w:val="00D57BD4"/>
    <w:rsid w:val="00D57BFE"/>
    <w:rsid w:val="00D57E2E"/>
    <w:rsid w:val="00D60597"/>
    <w:rsid w:val="00D60AFA"/>
    <w:rsid w:val="00D60D21"/>
    <w:rsid w:val="00D61795"/>
    <w:rsid w:val="00D61F82"/>
    <w:rsid w:val="00D63A8D"/>
    <w:rsid w:val="00D63D31"/>
    <w:rsid w:val="00D64818"/>
    <w:rsid w:val="00D64DCD"/>
    <w:rsid w:val="00D65D9B"/>
    <w:rsid w:val="00D66802"/>
    <w:rsid w:val="00D668DC"/>
    <w:rsid w:val="00D66EBD"/>
    <w:rsid w:val="00D67CEF"/>
    <w:rsid w:val="00D67F47"/>
    <w:rsid w:val="00D71C80"/>
    <w:rsid w:val="00D7260E"/>
    <w:rsid w:val="00D72841"/>
    <w:rsid w:val="00D72CB2"/>
    <w:rsid w:val="00D7382D"/>
    <w:rsid w:val="00D741A2"/>
    <w:rsid w:val="00D75268"/>
    <w:rsid w:val="00D75B0A"/>
    <w:rsid w:val="00D766A8"/>
    <w:rsid w:val="00D81090"/>
    <w:rsid w:val="00D810DE"/>
    <w:rsid w:val="00D81CBD"/>
    <w:rsid w:val="00D82CF6"/>
    <w:rsid w:val="00D8349D"/>
    <w:rsid w:val="00D834D5"/>
    <w:rsid w:val="00D838E2"/>
    <w:rsid w:val="00D83DA2"/>
    <w:rsid w:val="00D84166"/>
    <w:rsid w:val="00D845E8"/>
    <w:rsid w:val="00D8473D"/>
    <w:rsid w:val="00D84975"/>
    <w:rsid w:val="00D84B6C"/>
    <w:rsid w:val="00D86289"/>
    <w:rsid w:val="00D866A5"/>
    <w:rsid w:val="00D86FF7"/>
    <w:rsid w:val="00D870AD"/>
    <w:rsid w:val="00D87574"/>
    <w:rsid w:val="00D9040B"/>
    <w:rsid w:val="00D904C8"/>
    <w:rsid w:val="00D90F84"/>
    <w:rsid w:val="00D93216"/>
    <w:rsid w:val="00D93E44"/>
    <w:rsid w:val="00D94CA7"/>
    <w:rsid w:val="00D96FA3"/>
    <w:rsid w:val="00D97307"/>
    <w:rsid w:val="00D97A31"/>
    <w:rsid w:val="00D97A7B"/>
    <w:rsid w:val="00D97EC9"/>
    <w:rsid w:val="00DA06D0"/>
    <w:rsid w:val="00DA3318"/>
    <w:rsid w:val="00DA36F5"/>
    <w:rsid w:val="00DA3A52"/>
    <w:rsid w:val="00DA4576"/>
    <w:rsid w:val="00DA52A7"/>
    <w:rsid w:val="00DA5B1B"/>
    <w:rsid w:val="00DA5BF0"/>
    <w:rsid w:val="00DB0DA1"/>
    <w:rsid w:val="00DB0FF2"/>
    <w:rsid w:val="00DB15FC"/>
    <w:rsid w:val="00DB1CAA"/>
    <w:rsid w:val="00DB2CA0"/>
    <w:rsid w:val="00DB3537"/>
    <w:rsid w:val="00DB3582"/>
    <w:rsid w:val="00DB359C"/>
    <w:rsid w:val="00DB40C7"/>
    <w:rsid w:val="00DB51F5"/>
    <w:rsid w:val="00DB56D7"/>
    <w:rsid w:val="00DB59F0"/>
    <w:rsid w:val="00DB5C3C"/>
    <w:rsid w:val="00DB6415"/>
    <w:rsid w:val="00DB6E79"/>
    <w:rsid w:val="00DB78DB"/>
    <w:rsid w:val="00DB7ADB"/>
    <w:rsid w:val="00DC006B"/>
    <w:rsid w:val="00DC1475"/>
    <w:rsid w:val="00DC18CB"/>
    <w:rsid w:val="00DC1CBF"/>
    <w:rsid w:val="00DC2CA9"/>
    <w:rsid w:val="00DC380B"/>
    <w:rsid w:val="00DC3A18"/>
    <w:rsid w:val="00DC40EA"/>
    <w:rsid w:val="00DC4252"/>
    <w:rsid w:val="00DC4F11"/>
    <w:rsid w:val="00DC54D1"/>
    <w:rsid w:val="00DC5DB9"/>
    <w:rsid w:val="00DC6B94"/>
    <w:rsid w:val="00DC6FB7"/>
    <w:rsid w:val="00DC701A"/>
    <w:rsid w:val="00DC75BB"/>
    <w:rsid w:val="00DD0F7A"/>
    <w:rsid w:val="00DD17E2"/>
    <w:rsid w:val="00DD2153"/>
    <w:rsid w:val="00DD2352"/>
    <w:rsid w:val="00DD3272"/>
    <w:rsid w:val="00DD418B"/>
    <w:rsid w:val="00DD53AD"/>
    <w:rsid w:val="00DD5940"/>
    <w:rsid w:val="00DD5D32"/>
    <w:rsid w:val="00DD6388"/>
    <w:rsid w:val="00DD64BF"/>
    <w:rsid w:val="00DD7199"/>
    <w:rsid w:val="00DD73BC"/>
    <w:rsid w:val="00DD74A0"/>
    <w:rsid w:val="00DD758D"/>
    <w:rsid w:val="00DD7A83"/>
    <w:rsid w:val="00DD7DDE"/>
    <w:rsid w:val="00DE00BF"/>
    <w:rsid w:val="00DE0601"/>
    <w:rsid w:val="00DE11AF"/>
    <w:rsid w:val="00DE146C"/>
    <w:rsid w:val="00DE3790"/>
    <w:rsid w:val="00DE50CD"/>
    <w:rsid w:val="00DE54F9"/>
    <w:rsid w:val="00DE6645"/>
    <w:rsid w:val="00DE6CDC"/>
    <w:rsid w:val="00DE6CEB"/>
    <w:rsid w:val="00DE6FCF"/>
    <w:rsid w:val="00DE7101"/>
    <w:rsid w:val="00DE713C"/>
    <w:rsid w:val="00DE7261"/>
    <w:rsid w:val="00DF0DA7"/>
    <w:rsid w:val="00DF12CF"/>
    <w:rsid w:val="00DF17D6"/>
    <w:rsid w:val="00DF23CF"/>
    <w:rsid w:val="00DF25A8"/>
    <w:rsid w:val="00DF2E7D"/>
    <w:rsid w:val="00DF32A0"/>
    <w:rsid w:val="00DF3942"/>
    <w:rsid w:val="00DF43FD"/>
    <w:rsid w:val="00DF5419"/>
    <w:rsid w:val="00DF5556"/>
    <w:rsid w:val="00DF5761"/>
    <w:rsid w:val="00DF580F"/>
    <w:rsid w:val="00DF5FEC"/>
    <w:rsid w:val="00DF622F"/>
    <w:rsid w:val="00DF6C29"/>
    <w:rsid w:val="00DF6CD8"/>
    <w:rsid w:val="00DF6EFD"/>
    <w:rsid w:val="00DF7072"/>
    <w:rsid w:val="00DF7B7C"/>
    <w:rsid w:val="00DF7F6D"/>
    <w:rsid w:val="00E0020B"/>
    <w:rsid w:val="00E0031E"/>
    <w:rsid w:val="00E0113A"/>
    <w:rsid w:val="00E0162B"/>
    <w:rsid w:val="00E017B4"/>
    <w:rsid w:val="00E0297E"/>
    <w:rsid w:val="00E02F86"/>
    <w:rsid w:val="00E0432F"/>
    <w:rsid w:val="00E049B2"/>
    <w:rsid w:val="00E04F5B"/>
    <w:rsid w:val="00E0578F"/>
    <w:rsid w:val="00E06965"/>
    <w:rsid w:val="00E0748C"/>
    <w:rsid w:val="00E10415"/>
    <w:rsid w:val="00E10484"/>
    <w:rsid w:val="00E10615"/>
    <w:rsid w:val="00E10BFC"/>
    <w:rsid w:val="00E11E36"/>
    <w:rsid w:val="00E13B3A"/>
    <w:rsid w:val="00E1412A"/>
    <w:rsid w:val="00E14920"/>
    <w:rsid w:val="00E149B1"/>
    <w:rsid w:val="00E149C1"/>
    <w:rsid w:val="00E16483"/>
    <w:rsid w:val="00E170D5"/>
    <w:rsid w:val="00E206AF"/>
    <w:rsid w:val="00E20B00"/>
    <w:rsid w:val="00E21417"/>
    <w:rsid w:val="00E2153C"/>
    <w:rsid w:val="00E21772"/>
    <w:rsid w:val="00E21FA2"/>
    <w:rsid w:val="00E22409"/>
    <w:rsid w:val="00E22428"/>
    <w:rsid w:val="00E22AF1"/>
    <w:rsid w:val="00E22B64"/>
    <w:rsid w:val="00E22BC6"/>
    <w:rsid w:val="00E231DD"/>
    <w:rsid w:val="00E23851"/>
    <w:rsid w:val="00E23C20"/>
    <w:rsid w:val="00E23E75"/>
    <w:rsid w:val="00E25B58"/>
    <w:rsid w:val="00E26E66"/>
    <w:rsid w:val="00E26EC7"/>
    <w:rsid w:val="00E30290"/>
    <w:rsid w:val="00E315DD"/>
    <w:rsid w:val="00E3161A"/>
    <w:rsid w:val="00E31B0E"/>
    <w:rsid w:val="00E31E1D"/>
    <w:rsid w:val="00E32664"/>
    <w:rsid w:val="00E33612"/>
    <w:rsid w:val="00E33C5C"/>
    <w:rsid w:val="00E34626"/>
    <w:rsid w:val="00E35007"/>
    <w:rsid w:val="00E35A20"/>
    <w:rsid w:val="00E35C89"/>
    <w:rsid w:val="00E378A7"/>
    <w:rsid w:val="00E37E6F"/>
    <w:rsid w:val="00E40726"/>
    <w:rsid w:val="00E407E3"/>
    <w:rsid w:val="00E40ACE"/>
    <w:rsid w:val="00E41038"/>
    <w:rsid w:val="00E41824"/>
    <w:rsid w:val="00E41F2C"/>
    <w:rsid w:val="00E42176"/>
    <w:rsid w:val="00E43036"/>
    <w:rsid w:val="00E4329E"/>
    <w:rsid w:val="00E433F0"/>
    <w:rsid w:val="00E43FF0"/>
    <w:rsid w:val="00E44A1E"/>
    <w:rsid w:val="00E45C13"/>
    <w:rsid w:val="00E47462"/>
    <w:rsid w:val="00E47829"/>
    <w:rsid w:val="00E479FC"/>
    <w:rsid w:val="00E50116"/>
    <w:rsid w:val="00E5040E"/>
    <w:rsid w:val="00E505CB"/>
    <w:rsid w:val="00E508DF"/>
    <w:rsid w:val="00E50BDB"/>
    <w:rsid w:val="00E51C8C"/>
    <w:rsid w:val="00E52880"/>
    <w:rsid w:val="00E5295C"/>
    <w:rsid w:val="00E53AEB"/>
    <w:rsid w:val="00E5482A"/>
    <w:rsid w:val="00E552E1"/>
    <w:rsid w:val="00E56EDA"/>
    <w:rsid w:val="00E57305"/>
    <w:rsid w:val="00E57519"/>
    <w:rsid w:val="00E60505"/>
    <w:rsid w:val="00E621BB"/>
    <w:rsid w:val="00E6396D"/>
    <w:rsid w:val="00E63DE2"/>
    <w:rsid w:val="00E6446D"/>
    <w:rsid w:val="00E6469A"/>
    <w:rsid w:val="00E64F35"/>
    <w:rsid w:val="00E658D6"/>
    <w:rsid w:val="00E65C10"/>
    <w:rsid w:val="00E6625F"/>
    <w:rsid w:val="00E66EE4"/>
    <w:rsid w:val="00E67CA1"/>
    <w:rsid w:val="00E7032F"/>
    <w:rsid w:val="00E7138E"/>
    <w:rsid w:val="00E71848"/>
    <w:rsid w:val="00E7279E"/>
    <w:rsid w:val="00E72CF2"/>
    <w:rsid w:val="00E73123"/>
    <w:rsid w:val="00E73A27"/>
    <w:rsid w:val="00E73C2B"/>
    <w:rsid w:val="00E73F42"/>
    <w:rsid w:val="00E744BF"/>
    <w:rsid w:val="00E752E9"/>
    <w:rsid w:val="00E753AA"/>
    <w:rsid w:val="00E75E4A"/>
    <w:rsid w:val="00E76E06"/>
    <w:rsid w:val="00E7774C"/>
    <w:rsid w:val="00E77F3F"/>
    <w:rsid w:val="00E81B33"/>
    <w:rsid w:val="00E81CE5"/>
    <w:rsid w:val="00E82687"/>
    <w:rsid w:val="00E82FCA"/>
    <w:rsid w:val="00E83001"/>
    <w:rsid w:val="00E84265"/>
    <w:rsid w:val="00E84F47"/>
    <w:rsid w:val="00E8577D"/>
    <w:rsid w:val="00E859FD"/>
    <w:rsid w:val="00E87134"/>
    <w:rsid w:val="00E91560"/>
    <w:rsid w:val="00E91E15"/>
    <w:rsid w:val="00E91FE6"/>
    <w:rsid w:val="00E926DE"/>
    <w:rsid w:val="00E93A9B"/>
    <w:rsid w:val="00E94D89"/>
    <w:rsid w:val="00E95BB6"/>
    <w:rsid w:val="00E9606B"/>
    <w:rsid w:val="00E968EE"/>
    <w:rsid w:val="00E96983"/>
    <w:rsid w:val="00E9734C"/>
    <w:rsid w:val="00E977FD"/>
    <w:rsid w:val="00E9797E"/>
    <w:rsid w:val="00E97EE9"/>
    <w:rsid w:val="00EA03CF"/>
    <w:rsid w:val="00EA06CE"/>
    <w:rsid w:val="00EA0B1B"/>
    <w:rsid w:val="00EA0EB8"/>
    <w:rsid w:val="00EA0F15"/>
    <w:rsid w:val="00EA10CB"/>
    <w:rsid w:val="00EA1B21"/>
    <w:rsid w:val="00EA27C2"/>
    <w:rsid w:val="00EA2CB3"/>
    <w:rsid w:val="00EA3F1E"/>
    <w:rsid w:val="00EA4470"/>
    <w:rsid w:val="00EA4C87"/>
    <w:rsid w:val="00EA4D66"/>
    <w:rsid w:val="00EA5B52"/>
    <w:rsid w:val="00EA5D0F"/>
    <w:rsid w:val="00EA6C95"/>
    <w:rsid w:val="00EA6DE7"/>
    <w:rsid w:val="00EA79BF"/>
    <w:rsid w:val="00EB0BEF"/>
    <w:rsid w:val="00EB0D15"/>
    <w:rsid w:val="00EB118E"/>
    <w:rsid w:val="00EB12A6"/>
    <w:rsid w:val="00EB25F0"/>
    <w:rsid w:val="00EB2B43"/>
    <w:rsid w:val="00EB2CFB"/>
    <w:rsid w:val="00EB2DCD"/>
    <w:rsid w:val="00EB3435"/>
    <w:rsid w:val="00EB46E2"/>
    <w:rsid w:val="00EB54B3"/>
    <w:rsid w:val="00EB7320"/>
    <w:rsid w:val="00EB73D7"/>
    <w:rsid w:val="00EB7894"/>
    <w:rsid w:val="00EB7F50"/>
    <w:rsid w:val="00EC033C"/>
    <w:rsid w:val="00EC1A1A"/>
    <w:rsid w:val="00EC1D41"/>
    <w:rsid w:val="00EC20B6"/>
    <w:rsid w:val="00EC2291"/>
    <w:rsid w:val="00EC4290"/>
    <w:rsid w:val="00EC4555"/>
    <w:rsid w:val="00EC5818"/>
    <w:rsid w:val="00EC6BD7"/>
    <w:rsid w:val="00EC6FC4"/>
    <w:rsid w:val="00ED0008"/>
    <w:rsid w:val="00ED05C6"/>
    <w:rsid w:val="00ED0815"/>
    <w:rsid w:val="00ED12B8"/>
    <w:rsid w:val="00ED1C78"/>
    <w:rsid w:val="00ED21E1"/>
    <w:rsid w:val="00ED258B"/>
    <w:rsid w:val="00ED2664"/>
    <w:rsid w:val="00ED2707"/>
    <w:rsid w:val="00ED2922"/>
    <w:rsid w:val="00ED3036"/>
    <w:rsid w:val="00ED3072"/>
    <w:rsid w:val="00ED437F"/>
    <w:rsid w:val="00ED4578"/>
    <w:rsid w:val="00ED46C1"/>
    <w:rsid w:val="00ED530A"/>
    <w:rsid w:val="00ED6AD0"/>
    <w:rsid w:val="00ED6D16"/>
    <w:rsid w:val="00ED7A87"/>
    <w:rsid w:val="00EE060B"/>
    <w:rsid w:val="00EE08EE"/>
    <w:rsid w:val="00EE2765"/>
    <w:rsid w:val="00EE31E7"/>
    <w:rsid w:val="00EE4E29"/>
    <w:rsid w:val="00EE5423"/>
    <w:rsid w:val="00EE5B79"/>
    <w:rsid w:val="00EE5F51"/>
    <w:rsid w:val="00EE655A"/>
    <w:rsid w:val="00EE6BD0"/>
    <w:rsid w:val="00EE7951"/>
    <w:rsid w:val="00EF0160"/>
    <w:rsid w:val="00EF0220"/>
    <w:rsid w:val="00EF0673"/>
    <w:rsid w:val="00EF1220"/>
    <w:rsid w:val="00EF1701"/>
    <w:rsid w:val="00EF188F"/>
    <w:rsid w:val="00EF1F63"/>
    <w:rsid w:val="00EF2246"/>
    <w:rsid w:val="00EF24A9"/>
    <w:rsid w:val="00EF2E21"/>
    <w:rsid w:val="00EF318E"/>
    <w:rsid w:val="00EF53DF"/>
    <w:rsid w:val="00EF5F91"/>
    <w:rsid w:val="00EF7035"/>
    <w:rsid w:val="00EF7ADF"/>
    <w:rsid w:val="00EF7E6D"/>
    <w:rsid w:val="00EF7EE3"/>
    <w:rsid w:val="00F00D0D"/>
    <w:rsid w:val="00F01023"/>
    <w:rsid w:val="00F011C5"/>
    <w:rsid w:val="00F011D0"/>
    <w:rsid w:val="00F01E2E"/>
    <w:rsid w:val="00F021CA"/>
    <w:rsid w:val="00F0254C"/>
    <w:rsid w:val="00F048FC"/>
    <w:rsid w:val="00F06D69"/>
    <w:rsid w:val="00F1065E"/>
    <w:rsid w:val="00F116E5"/>
    <w:rsid w:val="00F12775"/>
    <w:rsid w:val="00F128EF"/>
    <w:rsid w:val="00F133B0"/>
    <w:rsid w:val="00F14180"/>
    <w:rsid w:val="00F14476"/>
    <w:rsid w:val="00F145D9"/>
    <w:rsid w:val="00F16A4A"/>
    <w:rsid w:val="00F175A1"/>
    <w:rsid w:val="00F17CE3"/>
    <w:rsid w:val="00F20CDC"/>
    <w:rsid w:val="00F20E7E"/>
    <w:rsid w:val="00F20EC0"/>
    <w:rsid w:val="00F23129"/>
    <w:rsid w:val="00F23EE5"/>
    <w:rsid w:val="00F246B5"/>
    <w:rsid w:val="00F247FE"/>
    <w:rsid w:val="00F248E6"/>
    <w:rsid w:val="00F2621E"/>
    <w:rsid w:val="00F26622"/>
    <w:rsid w:val="00F30A95"/>
    <w:rsid w:val="00F30C89"/>
    <w:rsid w:val="00F3171E"/>
    <w:rsid w:val="00F3190F"/>
    <w:rsid w:val="00F3276D"/>
    <w:rsid w:val="00F32B23"/>
    <w:rsid w:val="00F32BF8"/>
    <w:rsid w:val="00F32D7C"/>
    <w:rsid w:val="00F32E38"/>
    <w:rsid w:val="00F33E25"/>
    <w:rsid w:val="00F33EB0"/>
    <w:rsid w:val="00F34180"/>
    <w:rsid w:val="00F34477"/>
    <w:rsid w:val="00F34BCE"/>
    <w:rsid w:val="00F35A89"/>
    <w:rsid w:val="00F369B1"/>
    <w:rsid w:val="00F36EF4"/>
    <w:rsid w:val="00F37248"/>
    <w:rsid w:val="00F404FA"/>
    <w:rsid w:val="00F40B20"/>
    <w:rsid w:val="00F40E3D"/>
    <w:rsid w:val="00F4142A"/>
    <w:rsid w:val="00F426BF"/>
    <w:rsid w:val="00F427D3"/>
    <w:rsid w:val="00F428FC"/>
    <w:rsid w:val="00F42DFC"/>
    <w:rsid w:val="00F43530"/>
    <w:rsid w:val="00F444BA"/>
    <w:rsid w:val="00F44729"/>
    <w:rsid w:val="00F45362"/>
    <w:rsid w:val="00F45564"/>
    <w:rsid w:val="00F45A1E"/>
    <w:rsid w:val="00F462AA"/>
    <w:rsid w:val="00F467BF"/>
    <w:rsid w:val="00F46DE1"/>
    <w:rsid w:val="00F471A5"/>
    <w:rsid w:val="00F47914"/>
    <w:rsid w:val="00F47A04"/>
    <w:rsid w:val="00F47BA7"/>
    <w:rsid w:val="00F47C49"/>
    <w:rsid w:val="00F500C0"/>
    <w:rsid w:val="00F50BFD"/>
    <w:rsid w:val="00F50F85"/>
    <w:rsid w:val="00F51A4A"/>
    <w:rsid w:val="00F51FEB"/>
    <w:rsid w:val="00F522E8"/>
    <w:rsid w:val="00F52994"/>
    <w:rsid w:val="00F52E97"/>
    <w:rsid w:val="00F531A6"/>
    <w:rsid w:val="00F537EB"/>
    <w:rsid w:val="00F55D6A"/>
    <w:rsid w:val="00F55D7B"/>
    <w:rsid w:val="00F55F00"/>
    <w:rsid w:val="00F56733"/>
    <w:rsid w:val="00F569FC"/>
    <w:rsid w:val="00F57732"/>
    <w:rsid w:val="00F61363"/>
    <w:rsid w:val="00F62280"/>
    <w:rsid w:val="00F62829"/>
    <w:rsid w:val="00F63FD4"/>
    <w:rsid w:val="00F64502"/>
    <w:rsid w:val="00F64C9E"/>
    <w:rsid w:val="00F64D37"/>
    <w:rsid w:val="00F6605B"/>
    <w:rsid w:val="00F66B75"/>
    <w:rsid w:val="00F66F05"/>
    <w:rsid w:val="00F67FA3"/>
    <w:rsid w:val="00F70A26"/>
    <w:rsid w:val="00F71F3E"/>
    <w:rsid w:val="00F7291E"/>
    <w:rsid w:val="00F72A07"/>
    <w:rsid w:val="00F72B3F"/>
    <w:rsid w:val="00F72BE7"/>
    <w:rsid w:val="00F735CD"/>
    <w:rsid w:val="00F73C1A"/>
    <w:rsid w:val="00F7420E"/>
    <w:rsid w:val="00F7431F"/>
    <w:rsid w:val="00F74A64"/>
    <w:rsid w:val="00F77BC0"/>
    <w:rsid w:val="00F77DC8"/>
    <w:rsid w:val="00F77E38"/>
    <w:rsid w:val="00F80024"/>
    <w:rsid w:val="00F802BC"/>
    <w:rsid w:val="00F80C5E"/>
    <w:rsid w:val="00F811DC"/>
    <w:rsid w:val="00F815C7"/>
    <w:rsid w:val="00F8208D"/>
    <w:rsid w:val="00F822DA"/>
    <w:rsid w:val="00F826D6"/>
    <w:rsid w:val="00F82B62"/>
    <w:rsid w:val="00F83177"/>
    <w:rsid w:val="00F83806"/>
    <w:rsid w:val="00F84AE8"/>
    <w:rsid w:val="00F84F13"/>
    <w:rsid w:val="00F86B8B"/>
    <w:rsid w:val="00F86BAC"/>
    <w:rsid w:val="00F87C71"/>
    <w:rsid w:val="00F87EC6"/>
    <w:rsid w:val="00F906C1"/>
    <w:rsid w:val="00F90718"/>
    <w:rsid w:val="00F9211A"/>
    <w:rsid w:val="00F92181"/>
    <w:rsid w:val="00F9380C"/>
    <w:rsid w:val="00F93B38"/>
    <w:rsid w:val="00F93D78"/>
    <w:rsid w:val="00F9496A"/>
    <w:rsid w:val="00F94B17"/>
    <w:rsid w:val="00F9591C"/>
    <w:rsid w:val="00F968F7"/>
    <w:rsid w:val="00F96D5A"/>
    <w:rsid w:val="00FA0B01"/>
    <w:rsid w:val="00FA19F0"/>
    <w:rsid w:val="00FA216C"/>
    <w:rsid w:val="00FA2246"/>
    <w:rsid w:val="00FA26E6"/>
    <w:rsid w:val="00FA3491"/>
    <w:rsid w:val="00FA51BB"/>
    <w:rsid w:val="00FA5FAC"/>
    <w:rsid w:val="00FA671F"/>
    <w:rsid w:val="00FA6D54"/>
    <w:rsid w:val="00FA71AE"/>
    <w:rsid w:val="00FA728E"/>
    <w:rsid w:val="00FA728F"/>
    <w:rsid w:val="00FB0256"/>
    <w:rsid w:val="00FB0FA7"/>
    <w:rsid w:val="00FB11E3"/>
    <w:rsid w:val="00FB1577"/>
    <w:rsid w:val="00FB18D5"/>
    <w:rsid w:val="00FB43A3"/>
    <w:rsid w:val="00FB66B1"/>
    <w:rsid w:val="00FB740D"/>
    <w:rsid w:val="00FB75DC"/>
    <w:rsid w:val="00FB781C"/>
    <w:rsid w:val="00FC1C13"/>
    <w:rsid w:val="00FC28FC"/>
    <w:rsid w:val="00FC2CFF"/>
    <w:rsid w:val="00FC3D01"/>
    <w:rsid w:val="00FC4744"/>
    <w:rsid w:val="00FC4FAF"/>
    <w:rsid w:val="00FC533F"/>
    <w:rsid w:val="00FC548D"/>
    <w:rsid w:val="00FC602C"/>
    <w:rsid w:val="00FC67A1"/>
    <w:rsid w:val="00FC6AF1"/>
    <w:rsid w:val="00FC6EF4"/>
    <w:rsid w:val="00FC7747"/>
    <w:rsid w:val="00FD1129"/>
    <w:rsid w:val="00FD16B9"/>
    <w:rsid w:val="00FD1E93"/>
    <w:rsid w:val="00FD3C74"/>
    <w:rsid w:val="00FD4622"/>
    <w:rsid w:val="00FD78F7"/>
    <w:rsid w:val="00FD7B95"/>
    <w:rsid w:val="00FD7E2E"/>
    <w:rsid w:val="00FE0E3E"/>
    <w:rsid w:val="00FE0F36"/>
    <w:rsid w:val="00FE17D5"/>
    <w:rsid w:val="00FE1841"/>
    <w:rsid w:val="00FE1B5E"/>
    <w:rsid w:val="00FE2869"/>
    <w:rsid w:val="00FE462E"/>
    <w:rsid w:val="00FE57B2"/>
    <w:rsid w:val="00FE6343"/>
    <w:rsid w:val="00FE6F96"/>
    <w:rsid w:val="00FE7263"/>
    <w:rsid w:val="00FE79F0"/>
    <w:rsid w:val="00FE7AA3"/>
    <w:rsid w:val="00FF0856"/>
    <w:rsid w:val="00FF08A5"/>
    <w:rsid w:val="00FF0A29"/>
    <w:rsid w:val="00FF0D7C"/>
    <w:rsid w:val="00FF1055"/>
    <w:rsid w:val="00FF11F9"/>
    <w:rsid w:val="00FF15C6"/>
    <w:rsid w:val="00FF1BF9"/>
    <w:rsid w:val="00FF1EEB"/>
    <w:rsid w:val="00FF212C"/>
    <w:rsid w:val="00FF26DA"/>
    <w:rsid w:val="00FF4149"/>
    <w:rsid w:val="00FF4A95"/>
    <w:rsid w:val="00FF546B"/>
    <w:rsid w:val="00FF567B"/>
    <w:rsid w:val="00FF5F1F"/>
    <w:rsid w:val="00FF7DB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278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9" w:unhideWhenUsed="1" w:qFormat="1"/>
    <w:lsdException w:name="annotation text" w:semiHidden="1" w:uiPriority="97" w:unhideWhenUsed="1"/>
    <w:lsdException w:name="header" w:semiHidden="1" w:uiPriority="99" w:unhideWhenUsed="1"/>
    <w:lsdException w:name="footer" w:semiHidden="1" w:uiPriority="0"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9" w:unhideWhenUsed="1"/>
    <w:lsdException w:name="annotation reference" w:semiHidden="1" w:uiPriority="97" w:unhideWhenUsed="1"/>
    <w:lsdException w:name="line number" w:semiHidden="1" w:uiPriority="97" w:unhideWhenUsed="1"/>
    <w:lsdException w:name="page number" w:semiHidden="1" w:uiPriority="0"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uiPriority="97"/>
    <w:lsdException w:name="toa heading" w:semiHidden="1" w:uiPriority="97" w:unhideWhenUsed="1"/>
    <w:lsdException w:name="List" w:semiHidden="1" w:uiPriority="4" w:unhideWhenUsed="1"/>
    <w:lsdException w:name="List Bullet" w:uiPriority="2" w:qFormat="1"/>
    <w:lsdException w:name="List Number" w:uiPriority="3"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lsdException w:name="Title" w:uiPriority="97"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uiPriority="10"/>
    <w:lsdException w:name="List Continue 4" w:uiPriority="10"/>
    <w:lsdException w:name="List Continue 5" w:uiPriority="10"/>
    <w:lsdException w:name="Message Header" w:uiPriority="97"/>
    <w:lsdException w:name="Subtitle" w:uiPriority="97" w:qFormat="1"/>
    <w:lsdException w:name="Salutation" w:semiHidden="1" w:uiPriority="97" w:unhideWhenUsed="1"/>
    <w:lsdException w:name="Date" w:semiHidden="1" w:uiPriority="97" w:unhideWhenUsed="1" w:qFormat="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qFormat="1"/>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520"/>
    <w:pPr>
      <w:spacing w:after="140"/>
    </w:pPr>
    <w:rPr>
      <w:rFonts w:asciiTheme="minorHAnsi" w:hAnsiTheme="minorHAnsi"/>
      <w:spacing w:val="-1"/>
      <w:sz w:val="22"/>
    </w:rPr>
  </w:style>
  <w:style w:type="paragraph" w:styleId="Heading1">
    <w:name w:val="heading 1"/>
    <w:basedOn w:val="Normal"/>
    <w:next w:val="Normal"/>
    <w:uiPriority w:val="1"/>
    <w:qFormat/>
    <w:rsid w:val="001037C9"/>
    <w:pPr>
      <w:keepNext/>
      <w:outlineLvl w:val="0"/>
    </w:pPr>
    <w:rPr>
      <w:rFonts w:asciiTheme="majorHAnsi" w:hAnsiTheme="majorHAnsi" w:cs="Arial"/>
      <w:b/>
      <w:bCs/>
      <w:color w:val="009FDF" w:themeColor="accent2"/>
      <w:szCs w:val="32"/>
    </w:rPr>
  </w:style>
  <w:style w:type="paragraph" w:styleId="Heading2">
    <w:name w:val="heading 2"/>
    <w:basedOn w:val="Normal"/>
    <w:next w:val="Normal"/>
    <w:uiPriority w:val="1"/>
    <w:qFormat/>
    <w:rsid w:val="001037C9"/>
    <w:pPr>
      <w:keepNext/>
      <w:outlineLvl w:val="1"/>
    </w:pPr>
    <w:rPr>
      <w:rFonts w:asciiTheme="majorHAnsi" w:hAnsiTheme="majorHAnsi" w:cs="Arial"/>
      <w:b/>
      <w:bCs/>
      <w:iCs/>
      <w:color w:val="0C3B6C" w:themeColor="accent1"/>
      <w:szCs w:val="28"/>
    </w:rPr>
  </w:style>
  <w:style w:type="paragraph" w:styleId="Heading3">
    <w:name w:val="heading 3"/>
    <w:basedOn w:val="Normal"/>
    <w:next w:val="Normal"/>
    <w:uiPriority w:val="1"/>
    <w:qFormat/>
    <w:rsid w:val="002160A1"/>
    <w:pPr>
      <w:keepNext/>
      <w:outlineLvl w:val="2"/>
    </w:pPr>
    <w:rPr>
      <w:rFonts w:asciiTheme="majorHAnsi" w:hAnsiTheme="majorHAnsi" w:cs="Arial"/>
      <w:bCs/>
      <w:color w:val="009FDF" w:themeColor="accent2"/>
      <w:szCs w:val="26"/>
    </w:rPr>
  </w:style>
  <w:style w:type="paragraph" w:styleId="Heading4">
    <w:name w:val="heading 4"/>
    <w:basedOn w:val="Normal"/>
    <w:next w:val="Normal"/>
    <w:uiPriority w:val="1"/>
    <w:rsid w:val="002160A1"/>
    <w:pPr>
      <w:keepNext/>
      <w:outlineLvl w:val="3"/>
    </w:pPr>
    <w:rPr>
      <w:rFonts w:asciiTheme="majorHAnsi" w:hAnsiTheme="majorHAnsi"/>
      <w:b/>
      <w:bCs/>
      <w:szCs w:val="28"/>
    </w:rPr>
  </w:style>
  <w:style w:type="paragraph" w:styleId="Heading5">
    <w:name w:val="heading 5"/>
    <w:basedOn w:val="Normal"/>
    <w:next w:val="Normal"/>
    <w:link w:val="Heading5Char"/>
    <w:uiPriority w:val="1"/>
    <w:qFormat/>
    <w:rsid w:val="002160A1"/>
    <w:pPr>
      <w:outlineLvl w:val="4"/>
    </w:pPr>
    <w:rPr>
      <w:rFonts w:asciiTheme="majorHAnsi" w:hAnsiTheme="majorHAnsi"/>
      <w:b/>
      <w:bCs/>
      <w:iCs/>
      <w:color w:val="A7A9AC"/>
      <w:szCs w:val="26"/>
    </w:rPr>
  </w:style>
  <w:style w:type="paragraph" w:styleId="Heading6">
    <w:name w:val="heading 6"/>
    <w:basedOn w:val="Normal"/>
    <w:next w:val="Normal"/>
    <w:uiPriority w:val="1"/>
    <w:semiHidden/>
    <w:rsid w:val="00BF744B"/>
    <w:pPr>
      <w:spacing w:before="240" w:after="60"/>
      <w:outlineLvl w:val="5"/>
    </w:pPr>
    <w:rPr>
      <w:rFonts w:asciiTheme="majorHAnsi" w:hAnsiTheme="majorHAnsi"/>
      <w:b/>
      <w:bCs/>
    </w:rPr>
  </w:style>
  <w:style w:type="paragraph" w:styleId="Heading7">
    <w:name w:val="heading 7"/>
    <w:basedOn w:val="Normal"/>
    <w:next w:val="Normal"/>
    <w:uiPriority w:val="1"/>
    <w:semiHidden/>
    <w:rsid w:val="00BF744B"/>
    <w:pPr>
      <w:spacing w:before="240" w:after="60"/>
      <w:outlineLvl w:val="6"/>
    </w:pPr>
    <w:rPr>
      <w:rFonts w:asciiTheme="majorHAnsi" w:hAnsiTheme="majorHAnsi"/>
      <w:b/>
    </w:rPr>
  </w:style>
  <w:style w:type="paragraph" w:styleId="Heading8">
    <w:name w:val="heading 8"/>
    <w:basedOn w:val="Normal"/>
    <w:next w:val="Normal"/>
    <w:uiPriority w:val="1"/>
    <w:semiHidden/>
    <w:rsid w:val="00BF744B"/>
    <w:pPr>
      <w:spacing w:before="240" w:after="60"/>
      <w:outlineLvl w:val="7"/>
    </w:pPr>
    <w:rPr>
      <w:rFonts w:asciiTheme="majorHAnsi" w:hAnsiTheme="majorHAnsi"/>
      <w:b/>
      <w:iCs/>
    </w:rPr>
  </w:style>
  <w:style w:type="paragraph" w:styleId="Heading9">
    <w:name w:val="heading 9"/>
    <w:basedOn w:val="Normal"/>
    <w:next w:val="Normal"/>
    <w:uiPriority w:val="1"/>
    <w:semiHidden/>
    <w:rsid w:val="00BF744B"/>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1537C6"/>
    <w:pPr>
      <w:numPr>
        <w:numId w:val="16"/>
      </w:numPr>
    </w:pPr>
  </w:style>
  <w:style w:type="character" w:styleId="PageNumber">
    <w:name w:val="page number"/>
    <w:basedOn w:val="DefaultParagraphFont"/>
    <w:rsid w:val="00681610"/>
    <w:rPr>
      <w:rFonts w:asciiTheme="minorHAnsi" w:hAnsiTheme="minorHAnsi"/>
      <w:b/>
    </w:rPr>
  </w:style>
  <w:style w:type="table" w:styleId="TableGrid">
    <w:name w:val="Table Grid"/>
    <w:basedOn w:val="TableNormal"/>
    <w:uiPriority w:val="98"/>
    <w:rsid w:val="006D2F3B"/>
    <w:tblPr>
      <w:tblCellMar>
        <w:left w:w="0" w:type="dxa"/>
        <w:right w:w="0" w:type="dxa"/>
      </w:tblCellMar>
    </w:tblPr>
    <w:tblStylePr w:type="firstRow">
      <w:rPr>
        <w:rFonts w:asciiTheme="majorHAnsi" w:hAnsiTheme="majorHAnsi"/>
      </w:rPr>
    </w:tblStylePr>
  </w:style>
  <w:style w:type="paragraph" w:styleId="NoSpacing">
    <w:name w:val="No Spacing"/>
    <w:uiPriority w:val="97"/>
    <w:semiHidden/>
    <w:qFormat/>
    <w:rsid w:val="00BF744B"/>
    <w:rPr>
      <w:rFonts w:asciiTheme="minorHAnsi" w:hAnsiTheme="minorHAnsi"/>
      <w:szCs w:val="24"/>
    </w:rPr>
  </w:style>
  <w:style w:type="paragraph" w:styleId="TOC1">
    <w:name w:val="toc 1"/>
    <w:basedOn w:val="Heading1"/>
    <w:next w:val="TOC2"/>
    <w:uiPriority w:val="39"/>
    <w:qFormat/>
    <w:rsid w:val="00A935B1"/>
    <w:pPr>
      <w:keepNext w:val="0"/>
      <w:tabs>
        <w:tab w:val="left" w:pos="3833"/>
        <w:tab w:val="right" w:pos="9639"/>
      </w:tabs>
      <w:spacing w:before="200" w:after="100"/>
      <w:ind w:left="3827" w:hanging="425"/>
    </w:pPr>
    <w:rPr>
      <w:rFonts w:asciiTheme="minorHAnsi" w:hAnsiTheme="minorHAnsi"/>
      <w:b w:val="0"/>
      <w:noProof/>
    </w:rPr>
  </w:style>
  <w:style w:type="paragraph" w:styleId="BodyText">
    <w:name w:val="Body Text"/>
    <w:basedOn w:val="Normal"/>
    <w:link w:val="BodyTextChar"/>
    <w:uiPriority w:val="97"/>
    <w:semiHidden/>
    <w:rsid w:val="00BF744B"/>
    <w:pPr>
      <w:spacing w:before="120" w:after="120"/>
    </w:pPr>
    <w:rPr>
      <w:color w:val="404040" w:themeColor="text1" w:themeTint="BF"/>
    </w:rPr>
  </w:style>
  <w:style w:type="character" w:customStyle="1" w:styleId="BodyTextChar">
    <w:name w:val="Body Text Char"/>
    <w:basedOn w:val="DefaultParagraphFont"/>
    <w:link w:val="BodyText"/>
    <w:uiPriority w:val="4"/>
    <w:rsid w:val="00AC56BF"/>
    <w:rPr>
      <w:rFonts w:asciiTheme="minorHAnsi" w:hAnsiTheme="minorHAnsi"/>
      <w:color w:val="404040" w:themeColor="text1" w:themeTint="BF"/>
    </w:rPr>
  </w:style>
  <w:style w:type="paragraph" w:customStyle="1" w:styleId="Label">
    <w:name w:val="Label"/>
    <w:basedOn w:val="Normal"/>
    <w:link w:val="LabelChar"/>
    <w:semiHidden/>
    <w:rsid w:val="003858AD"/>
  </w:style>
  <w:style w:type="paragraph" w:customStyle="1" w:styleId="spacer">
    <w:name w:val="spacer"/>
    <w:basedOn w:val="Normal"/>
    <w:semiHidden/>
    <w:rsid w:val="003858AD"/>
    <w:rPr>
      <w:sz w:val="2"/>
    </w:rPr>
  </w:style>
  <w:style w:type="paragraph" w:styleId="z-TopofForm">
    <w:name w:val="HTML Top of Form"/>
    <w:basedOn w:val="Normal"/>
    <w:next w:val="Normal"/>
    <w:link w:val="z-TopofFormChar"/>
    <w:hidden/>
    <w:rsid w:val="003858AD"/>
    <w:pPr>
      <w:pBdr>
        <w:bottom w:val="single" w:sz="6" w:space="1" w:color="auto"/>
      </w:pBdr>
      <w:jc w:val="center"/>
    </w:pPr>
    <w:rPr>
      <w:rFonts w:ascii="Arial" w:hAnsi="Arial" w:cs="Arial"/>
      <w:vanish/>
      <w:sz w:val="16"/>
      <w:szCs w:val="16"/>
    </w:rPr>
  </w:style>
  <w:style w:type="numbering" w:styleId="111111">
    <w:name w:val="Outline List 2"/>
    <w:basedOn w:val="NoList"/>
    <w:uiPriority w:val="97"/>
    <w:semiHidden/>
    <w:rsid w:val="00BF744B"/>
    <w:pPr>
      <w:numPr>
        <w:numId w:val="5"/>
      </w:numPr>
    </w:pPr>
  </w:style>
  <w:style w:type="numbering" w:styleId="1ai">
    <w:name w:val="Outline List 1"/>
    <w:basedOn w:val="NoList"/>
    <w:uiPriority w:val="97"/>
    <w:semiHidden/>
    <w:rsid w:val="00BF744B"/>
    <w:pPr>
      <w:numPr>
        <w:numId w:val="6"/>
      </w:numPr>
    </w:pPr>
  </w:style>
  <w:style w:type="numbering" w:styleId="ArticleSection">
    <w:name w:val="Outline List 3"/>
    <w:basedOn w:val="NoList"/>
    <w:uiPriority w:val="97"/>
    <w:semiHidden/>
    <w:rsid w:val="00BF744B"/>
    <w:pPr>
      <w:numPr>
        <w:numId w:val="7"/>
      </w:numPr>
    </w:pPr>
  </w:style>
  <w:style w:type="paragraph" w:styleId="BalloonText">
    <w:name w:val="Balloon Text"/>
    <w:basedOn w:val="Normal"/>
    <w:link w:val="BalloonTextChar"/>
    <w:uiPriority w:val="97"/>
    <w:semiHidden/>
    <w:rsid w:val="00BF744B"/>
    <w:rPr>
      <w:rFonts w:cs="Tahoma"/>
      <w:sz w:val="16"/>
      <w:szCs w:val="16"/>
    </w:rPr>
  </w:style>
  <w:style w:type="character" w:customStyle="1" w:styleId="BalloonTextChar">
    <w:name w:val="Balloon Text Char"/>
    <w:basedOn w:val="DefaultParagraphFont"/>
    <w:link w:val="BalloonText"/>
    <w:rsid w:val="00BF744B"/>
    <w:rPr>
      <w:rFonts w:asciiTheme="minorHAnsi" w:hAnsiTheme="minorHAnsi" w:cs="Tahoma"/>
      <w:sz w:val="16"/>
      <w:szCs w:val="16"/>
    </w:rPr>
  </w:style>
  <w:style w:type="paragraph" w:styleId="Bibliography">
    <w:name w:val="Bibliography"/>
    <w:basedOn w:val="Normal"/>
    <w:next w:val="Normal"/>
    <w:uiPriority w:val="97"/>
    <w:semiHidden/>
    <w:unhideWhenUsed/>
    <w:rsid w:val="00BF744B"/>
  </w:style>
  <w:style w:type="paragraph" w:styleId="BlockText">
    <w:name w:val="Block Text"/>
    <w:basedOn w:val="Normal"/>
    <w:uiPriority w:val="97"/>
    <w:semiHidden/>
    <w:rsid w:val="00BF744B"/>
    <w:pPr>
      <w:pBdr>
        <w:top w:val="single" w:sz="2" w:space="10" w:color="0C3B6C" w:themeColor="accent1"/>
        <w:left w:val="single" w:sz="2" w:space="10" w:color="0C3B6C" w:themeColor="accent1"/>
        <w:bottom w:val="single" w:sz="2" w:space="10" w:color="0C3B6C" w:themeColor="accent1"/>
        <w:right w:val="single" w:sz="2" w:space="10" w:color="0C3B6C" w:themeColor="accent1"/>
      </w:pBdr>
      <w:ind w:left="1152" w:right="1152"/>
    </w:pPr>
    <w:rPr>
      <w:rFonts w:eastAsiaTheme="minorEastAsia" w:cstheme="minorBidi"/>
      <w:i/>
      <w:iCs/>
      <w:color w:val="0C3B6C" w:themeColor="accent1"/>
    </w:rPr>
  </w:style>
  <w:style w:type="paragraph" w:styleId="BodyText2">
    <w:name w:val="Body Text 2"/>
    <w:basedOn w:val="Normal"/>
    <w:link w:val="BodyText2Char"/>
    <w:uiPriority w:val="97"/>
    <w:semiHidden/>
    <w:rsid w:val="00BF744B"/>
    <w:pPr>
      <w:spacing w:after="120" w:line="480" w:lineRule="auto"/>
    </w:pPr>
  </w:style>
  <w:style w:type="character" w:customStyle="1" w:styleId="BodyText2Char">
    <w:name w:val="Body Text 2 Char"/>
    <w:basedOn w:val="DefaultParagraphFont"/>
    <w:link w:val="BodyText2"/>
    <w:rsid w:val="00BF744B"/>
    <w:rPr>
      <w:rFonts w:asciiTheme="minorHAnsi" w:hAnsiTheme="minorHAnsi"/>
    </w:rPr>
  </w:style>
  <w:style w:type="paragraph" w:styleId="BodyText3">
    <w:name w:val="Body Text 3"/>
    <w:basedOn w:val="Normal"/>
    <w:link w:val="BodyText3Char"/>
    <w:uiPriority w:val="97"/>
    <w:semiHidden/>
    <w:rsid w:val="00BF744B"/>
    <w:pPr>
      <w:spacing w:after="120"/>
    </w:pPr>
    <w:rPr>
      <w:sz w:val="16"/>
      <w:szCs w:val="16"/>
    </w:rPr>
  </w:style>
  <w:style w:type="character" w:customStyle="1" w:styleId="BodyText3Char">
    <w:name w:val="Body Text 3 Char"/>
    <w:basedOn w:val="DefaultParagraphFont"/>
    <w:link w:val="BodyText3"/>
    <w:rsid w:val="00BF744B"/>
    <w:rPr>
      <w:rFonts w:asciiTheme="minorHAnsi" w:hAnsiTheme="minorHAnsi"/>
      <w:sz w:val="16"/>
      <w:szCs w:val="16"/>
    </w:rPr>
  </w:style>
  <w:style w:type="paragraph" w:styleId="BodyTextFirstIndent">
    <w:name w:val="Body Text First Indent"/>
    <w:basedOn w:val="BodyText"/>
    <w:link w:val="BodyTextFirstIndentChar"/>
    <w:uiPriority w:val="97"/>
    <w:semiHidden/>
    <w:rsid w:val="00BF744B"/>
    <w:pPr>
      <w:spacing w:before="0" w:after="0"/>
      <w:ind w:firstLine="360"/>
    </w:pPr>
    <w:rPr>
      <w:color w:val="auto"/>
    </w:rPr>
  </w:style>
  <w:style w:type="character" w:customStyle="1" w:styleId="BodyTextFirstIndentChar">
    <w:name w:val="Body Text First Indent Char"/>
    <w:basedOn w:val="BodyTextChar"/>
    <w:link w:val="BodyTextFirstIndent"/>
    <w:rsid w:val="00BF744B"/>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BF744B"/>
    <w:pPr>
      <w:spacing w:after="120"/>
      <w:ind w:left="283"/>
    </w:pPr>
  </w:style>
  <w:style w:type="character" w:customStyle="1" w:styleId="BodyTextIndentChar">
    <w:name w:val="Body Text Indent Char"/>
    <w:basedOn w:val="DefaultParagraphFont"/>
    <w:link w:val="BodyTextIndent"/>
    <w:rsid w:val="00BF744B"/>
    <w:rPr>
      <w:rFonts w:asciiTheme="minorHAnsi" w:hAnsiTheme="minorHAnsi"/>
    </w:rPr>
  </w:style>
  <w:style w:type="paragraph" w:styleId="BodyTextFirstIndent2">
    <w:name w:val="Body Text First Indent 2"/>
    <w:basedOn w:val="BodyTextIndent"/>
    <w:link w:val="BodyTextFirstIndent2Char"/>
    <w:uiPriority w:val="97"/>
    <w:semiHidden/>
    <w:rsid w:val="00BF744B"/>
    <w:pPr>
      <w:spacing w:after="0"/>
      <w:ind w:left="360" w:firstLine="360"/>
    </w:pPr>
  </w:style>
  <w:style w:type="character" w:customStyle="1" w:styleId="BodyTextFirstIndent2Char">
    <w:name w:val="Body Text First Indent 2 Char"/>
    <w:basedOn w:val="BodyTextIndentChar"/>
    <w:link w:val="BodyTextFirstIndent2"/>
    <w:rsid w:val="00BF744B"/>
    <w:rPr>
      <w:rFonts w:asciiTheme="minorHAnsi" w:hAnsiTheme="minorHAnsi"/>
    </w:rPr>
  </w:style>
  <w:style w:type="paragraph" w:styleId="BodyTextIndent2">
    <w:name w:val="Body Text Indent 2"/>
    <w:basedOn w:val="Normal"/>
    <w:link w:val="BodyTextIndent2Char"/>
    <w:uiPriority w:val="97"/>
    <w:semiHidden/>
    <w:rsid w:val="00BF744B"/>
    <w:pPr>
      <w:spacing w:after="120" w:line="480" w:lineRule="auto"/>
      <w:ind w:left="283"/>
    </w:pPr>
  </w:style>
  <w:style w:type="character" w:customStyle="1" w:styleId="BodyTextIndent2Char">
    <w:name w:val="Body Text Indent 2 Char"/>
    <w:basedOn w:val="DefaultParagraphFont"/>
    <w:link w:val="BodyTextIndent2"/>
    <w:rsid w:val="00BF744B"/>
    <w:rPr>
      <w:rFonts w:asciiTheme="minorHAnsi" w:hAnsiTheme="minorHAnsi"/>
    </w:rPr>
  </w:style>
  <w:style w:type="paragraph" w:styleId="BodyTextIndent3">
    <w:name w:val="Body Text Indent 3"/>
    <w:basedOn w:val="Normal"/>
    <w:link w:val="BodyTextIndent3Char"/>
    <w:uiPriority w:val="97"/>
    <w:semiHidden/>
    <w:rsid w:val="00BF744B"/>
    <w:pPr>
      <w:spacing w:after="120"/>
      <w:ind w:left="283"/>
    </w:pPr>
    <w:rPr>
      <w:sz w:val="16"/>
      <w:szCs w:val="16"/>
    </w:rPr>
  </w:style>
  <w:style w:type="character" w:customStyle="1" w:styleId="BodyTextIndent3Char">
    <w:name w:val="Body Text Indent 3 Char"/>
    <w:basedOn w:val="DefaultParagraphFont"/>
    <w:link w:val="BodyTextIndent3"/>
    <w:rsid w:val="00BF744B"/>
    <w:rPr>
      <w:rFonts w:asciiTheme="minorHAnsi" w:hAnsiTheme="minorHAnsi"/>
      <w:sz w:val="16"/>
      <w:szCs w:val="16"/>
    </w:rPr>
  </w:style>
  <w:style w:type="character" w:styleId="BookTitle">
    <w:name w:val="Book Title"/>
    <w:basedOn w:val="DefaultParagraphFont"/>
    <w:uiPriority w:val="97"/>
    <w:semiHidden/>
    <w:rsid w:val="00BF744B"/>
    <w:rPr>
      <w:rFonts w:asciiTheme="minorHAnsi" w:hAnsiTheme="minorHAnsi"/>
      <w:b/>
      <w:bCs/>
      <w:smallCaps/>
      <w:spacing w:val="5"/>
    </w:rPr>
  </w:style>
  <w:style w:type="paragraph" w:styleId="Caption">
    <w:name w:val="caption"/>
    <w:basedOn w:val="Normal"/>
    <w:next w:val="Normal"/>
    <w:uiPriority w:val="97"/>
    <w:semiHidden/>
    <w:unhideWhenUsed/>
    <w:qFormat/>
    <w:rsid w:val="00BF744B"/>
    <w:pPr>
      <w:spacing w:after="200"/>
    </w:pPr>
    <w:rPr>
      <w:b/>
      <w:bCs/>
      <w:color w:val="0C3B6C" w:themeColor="accent1"/>
      <w:szCs w:val="18"/>
    </w:rPr>
  </w:style>
  <w:style w:type="paragraph" w:styleId="Closing">
    <w:name w:val="Closing"/>
    <w:basedOn w:val="Normal"/>
    <w:link w:val="ClosingChar"/>
    <w:uiPriority w:val="97"/>
    <w:semiHidden/>
    <w:rsid w:val="00BF744B"/>
    <w:pPr>
      <w:ind w:left="4252"/>
    </w:pPr>
  </w:style>
  <w:style w:type="character" w:customStyle="1" w:styleId="ClosingChar">
    <w:name w:val="Closing Char"/>
    <w:basedOn w:val="DefaultParagraphFont"/>
    <w:link w:val="Closing"/>
    <w:rsid w:val="00BF744B"/>
    <w:rPr>
      <w:rFonts w:asciiTheme="minorHAnsi" w:hAnsiTheme="minorHAnsi"/>
    </w:rPr>
  </w:style>
  <w:style w:type="table" w:styleId="ColorfulGrid">
    <w:name w:val="Colorful Grid"/>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B8D7F7" w:themeFill="accent1" w:themeFillTint="33"/>
      <w:tcMar>
        <w:top w:w="57" w:type="dxa"/>
        <w:left w:w="57" w:type="dxa"/>
        <w:bottom w:w="57" w:type="dxa"/>
        <w:right w:w="57" w:type="dxa"/>
      </w:tcMar>
    </w:tcPr>
    <w:tblStylePr w:type="firstRow">
      <w:rPr>
        <w:rFonts w:asciiTheme="majorHAnsi" w:hAnsiTheme="majorHAnsi"/>
        <w:b/>
        <w:bCs/>
      </w:rPr>
      <w:tblPr/>
      <w:tcPr>
        <w:shd w:val="clear" w:color="auto" w:fill="72AFEF" w:themeFill="accent1" w:themeFillTint="66"/>
      </w:tcPr>
    </w:tblStylePr>
    <w:tblStylePr w:type="lastRow">
      <w:rPr>
        <w:b/>
        <w:bCs/>
        <w:color w:val="000000" w:themeColor="text1"/>
      </w:rPr>
      <w:tblPr/>
      <w:tcPr>
        <w:shd w:val="clear" w:color="auto" w:fill="72AFEF" w:themeFill="accent1" w:themeFillTint="66"/>
      </w:tcPr>
    </w:tblStylePr>
    <w:tblStylePr w:type="firstCol">
      <w:rPr>
        <w:color w:val="FFFFFF" w:themeColor="background1"/>
      </w:rPr>
      <w:tblPr/>
      <w:tcPr>
        <w:shd w:val="clear" w:color="auto" w:fill="092B50" w:themeFill="accent1" w:themeFillShade="BF"/>
      </w:tcPr>
    </w:tblStylePr>
    <w:tblStylePr w:type="lastCol">
      <w:rPr>
        <w:color w:val="FFFFFF" w:themeColor="background1"/>
      </w:rPr>
      <w:tblPr/>
      <w:tcPr>
        <w:shd w:val="clear" w:color="auto" w:fill="092B50" w:themeFill="accent1" w:themeFillShade="BF"/>
      </w:tc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ColorfulGrid-Accent2">
    <w:name w:val="Colorful Grid Accent 2"/>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5EEFF" w:themeFill="accent2" w:themeFillTint="33"/>
      <w:tcMar>
        <w:top w:w="57" w:type="dxa"/>
        <w:left w:w="57" w:type="dxa"/>
        <w:bottom w:w="57" w:type="dxa"/>
        <w:right w:w="57" w:type="dxa"/>
      </w:tcMar>
    </w:tcPr>
    <w:tblStylePr w:type="firstRow">
      <w:rPr>
        <w:rFonts w:asciiTheme="majorHAnsi" w:hAnsiTheme="majorHAnsi"/>
        <w:b/>
        <w:bCs/>
      </w:rPr>
      <w:tblPr/>
      <w:tcPr>
        <w:shd w:val="clear" w:color="auto" w:fill="8CDDFF" w:themeFill="accent2" w:themeFillTint="66"/>
      </w:tcPr>
    </w:tblStylePr>
    <w:tblStylePr w:type="lastRow">
      <w:rPr>
        <w:b/>
        <w:bCs/>
        <w:color w:val="00000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BDD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98BCEB" w:themeFill="accent3" w:themeFillTint="66"/>
      </w:tcPr>
    </w:tblStylePr>
    <w:tblStylePr w:type="lastRow">
      <w:rPr>
        <w:b/>
        <w:bCs/>
        <w:color w:val="000000" w:themeColor="text1"/>
      </w:rPr>
      <w:tblPr/>
      <w:tcPr>
        <w:shd w:val="clear" w:color="auto" w:fill="98BCEB" w:themeFill="accent3" w:themeFillTint="66"/>
      </w:tcPr>
    </w:tblStylePr>
    <w:tblStylePr w:type="firstCol">
      <w:rPr>
        <w:color w:val="FFFFFF" w:themeColor="background1"/>
      </w:rPr>
      <w:tblPr/>
      <w:tcPr>
        <w:shd w:val="clear" w:color="auto" w:fill="184580" w:themeFill="accent3" w:themeFillShade="BF"/>
      </w:tcPr>
    </w:tblStylePr>
    <w:tblStylePr w:type="lastCol">
      <w:rPr>
        <w:color w:val="FFFFFF" w:themeColor="background1"/>
      </w:rPr>
      <w:tblPr/>
      <w:tcPr>
        <w:shd w:val="clear" w:color="auto" w:fill="184580" w:themeFill="accent3" w:themeFillShade="BF"/>
      </w:tcPr>
    </w:tblStylePr>
    <w:tblStylePr w:type="band1Vert">
      <w:tblPr/>
      <w:tcPr>
        <w:shd w:val="clear" w:color="auto" w:fill="7FACE6" w:themeFill="accent3" w:themeFillTint="7F"/>
      </w:tcPr>
    </w:tblStylePr>
    <w:tblStylePr w:type="band1Horz">
      <w:tblPr/>
      <w:tcPr>
        <w:shd w:val="clear" w:color="auto" w:fill="7FACE6" w:themeFill="accent3" w:themeFillTint="7F"/>
      </w:tcPr>
    </w:tblStylePr>
  </w:style>
  <w:style w:type="table" w:styleId="ColorfulGrid-Accent4">
    <w:name w:val="Colorful Grid Accent 4"/>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7ECF1" w:themeFill="accent4" w:themeFillTint="33"/>
      <w:tcMar>
        <w:top w:w="57" w:type="dxa"/>
        <w:left w:w="57" w:type="dxa"/>
        <w:bottom w:w="57" w:type="dxa"/>
        <w:right w:w="57" w:type="dxa"/>
      </w:tcMar>
    </w:tcPr>
    <w:tblStylePr w:type="firstRow">
      <w:rPr>
        <w:rFonts w:asciiTheme="majorHAnsi" w:hAnsiTheme="majorHAnsi"/>
        <w:b/>
        <w:bCs/>
      </w:rPr>
      <w:tblPr/>
      <w:tcPr>
        <w:shd w:val="clear" w:color="auto" w:fill="D0DAE3" w:themeFill="accent4" w:themeFillTint="66"/>
      </w:tcPr>
    </w:tblStylePr>
    <w:tblStylePr w:type="lastRow">
      <w:rPr>
        <w:b/>
        <w:bCs/>
        <w:color w:val="000000" w:themeColor="text1"/>
      </w:rPr>
      <w:tblPr/>
      <w:tcPr>
        <w:shd w:val="clear" w:color="auto" w:fill="D0DAE3" w:themeFill="accent4" w:themeFillTint="66"/>
      </w:tcPr>
    </w:tblStylePr>
    <w:tblStylePr w:type="firstCol">
      <w:rPr>
        <w:color w:val="FFFFFF" w:themeColor="background1"/>
      </w:rPr>
      <w:tblPr/>
      <w:tcPr>
        <w:shd w:val="clear" w:color="auto" w:fill="5A7A98" w:themeFill="accent4" w:themeFillShade="BF"/>
      </w:tcPr>
    </w:tblStylePr>
    <w:tblStylePr w:type="lastCol">
      <w:rPr>
        <w:color w:val="FFFFFF" w:themeColor="background1"/>
      </w:rPr>
      <w:tblPr/>
      <w:tcPr>
        <w:shd w:val="clear" w:color="auto" w:fill="5A7A98" w:themeFill="accent4" w:themeFillShade="BF"/>
      </w:tcPr>
    </w:tblStylePr>
    <w:tblStylePr w:type="band1Vert">
      <w:tblPr/>
      <w:tcPr>
        <w:shd w:val="clear" w:color="auto" w:fill="C4D1DC" w:themeFill="accent4" w:themeFillTint="7F"/>
      </w:tcPr>
    </w:tblStylePr>
    <w:tblStylePr w:type="band1Horz">
      <w:tblPr/>
      <w:tcPr>
        <w:shd w:val="clear" w:color="auto" w:fill="C4D1DC" w:themeFill="accent4" w:themeFillTint="7F"/>
      </w:tcPr>
    </w:tblStylePr>
  </w:style>
  <w:style w:type="table" w:styleId="ColorfulGrid-Accent5">
    <w:name w:val="Colorful Grid Accent 5"/>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BAFFF5" w:themeFill="accent5" w:themeFillTint="33"/>
      <w:tcMar>
        <w:top w:w="57" w:type="dxa"/>
        <w:left w:w="57" w:type="dxa"/>
        <w:bottom w:w="57" w:type="dxa"/>
        <w:right w:w="57" w:type="dxa"/>
      </w:tcMar>
    </w:tcPr>
    <w:tblStylePr w:type="firstRow">
      <w:rPr>
        <w:rFonts w:asciiTheme="majorHAnsi" w:hAnsiTheme="majorHAnsi"/>
        <w:b/>
        <w:bCs/>
      </w:rPr>
      <w:tblPr/>
      <w:tcPr>
        <w:shd w:val="clear" w:color="auto" w:fill="75FFEB" w:themeFill="accent5" w:themeFillTint="66"/>
      </w:tcPr>
    </w:tblStylePr>
    <w:tblStylePr w:type="lastRow">
      <w:rPr>
        <w:b/>
        <w:bCs/>
        <w:color w:val="000000" w:themeColor="text1"/>
      </w:rPr>
      <w:tblPr/>
      <w:tcPr>
        <w:shd w:val="clear" w:color="auto" w:fill="75FFEB" w:themeFill="accent5" w:themeFillTint="66"/>
      </w:tcPr>
    </w:tblStylePr>
    <w:tblStylePr w:type="firstCol">
      <w:rPr>
        <w:color w:val="FFFFFF" w:themeColor="background1"/>
      </w:rPr>
      <w:tblPr/>
      <w:tcPr>
        <w:shd w:val="clear" w:color="auto" w:fill="007C6A" w:themeFill="accent5" w:themeFillShade="BF"/>
      </w:tcPr>
    </w:tblStylePr>
    <w:tblStylePr w:type="lastCol">
      <w:rPr>
        <w:color w:val="FFFFFF" w:themeColor="background1"/>
      </w:rPr>
      <w:tblPr/>
      <w:tcPr>
        <w:shd w:val="clear" w:color="auto" w:fill="007C6A" w:themeFill="accent5" w:themeFillShade="BF"/>
      </w:tcPr>
    </w:tblStylePr>
    <w:tblStylePr w:type="band1Vert">
      <w:tblPr/>
      <w:tcPr>
        <w:shd w:val="clear" w:color="auto" w:fill="53FFE6" w:themeFill="accent5" w:themeFillTint="7F"/>
      </w:tcPr>
    </w:tblStylePr>
    <w:tblStylePr w:type="band1Horz">
      <w:tblPr/>
      <w:tcPr>
        <w:shd w:val="clear" w:color="auto" w:fill="53FFE6" w:themeFill="accent5" w:themeFillTint="7F"/>
      </w:tcPr>
    </w:tblStylePr>
  </w:style>
  <w:style w:type="table" w:styleId="ColorfulGrid-Accent6">
    <w:name w:val="Colorful Grid Accent 6"/>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D4F1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AAE4B3" w:themeFill="accent6" w:themeFillTint="66"/>
      </w:tcPr>
    </w:tblStylePr>
    <w:tblStylePr w:type="lastRow">
      <w:rPr>
        <w:b/>
        <w:bCs/>
        <w:color w:val="000000" w:themeColor="text1"/>
      </w:rPr>
      <w:tblPr/>
      <w:tcPr>
        <w:shd w:val="clear" w:color="auto" w:fill="AAE4B3" w:themeFill="accent6" w:themeFillTint="66"/>
      </w:tcPr>
    </w:tblStylePr>
    <w:tblStylePr w:type="firstCol">
      <w:rPr>
        <w:color w:val="FFFFFF" w:themeColor="background1"/>
      </w:rPr>
      <w:tblPr/>
      <w:tcPr>
        <w:shd w:val="clear" w:color="auto" w:fill="2A8537" w:themeFill="accent6" w:themeFillShade="BF"/>
      </w:tcPr>
    </w:tblStylePr>
    <w:tblStylePr w:type="lastCol">
      <w:rPr>
        <w:color w:val="FFFFFF" w:themeColor="background1"/>
      </w:rPr>
      <w:tblPr/>
      <w:tcPr>
        <w:shd w:val="clear" w:color="auto" w:fill="2A8537" w:themeFill="accent6" w:themeFillShade="BF"/>
      </w:tcPr>
    </w:tblStylePr>
    <w:tblStylePr w:type="band1Vert">
      <w:tblPr/>
      <w:tcPr>
        <w:shd w:val="clear" w:color="auto" w:fill="96DEA0" w:themeFill="accent6" w:themeFillTint="7F"/>
      </w:tcPr>
    </w:tblStylePr>
    <w:tblStylePr w:type="band1Horz">
      <w:tblPr/>
      <w:tcPr>
        <w:shd w:val="clear" w:color="auto" w:fill="96DEA0" w:themeFill="accent6" w:themeFillTint="7F"/>
      </w:tcPr>
    </w:tblStylePr>
  </w:style>
  <w:style w:type="table" w:styleId="ColorfulList">
    <w:name w:val="Colorful List"/>
    <w:basedOn w:val="TableNormal"/>
    <w:uiPriority w:val="98"/>
    <w:rsid w:val="00BF744B"/>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BF744B"/>
    <w:rPr>
      <w:color w:val="000000" w:themeColor="text1"/>
    </w:rPr>
    <w:tblPr>
      <w:tblStyleRowBandSize w:val="1"/>
      <w:tblStyleColBandSize w:val="1"/>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hemeFill="accent1" w:themeFillTint="3F"/>
      </w:tcPr>
    </w:tblStylePr>
    <w:tblStylePr w:type="band1Horz">
      <w:tblPr/>
      <w:tcPr>
        <w:shd w:val="clear" w:color="auto" w:fill="B8D7F7" w:themeFill="accent1" w:themeFillTint="33"/>
      </w:tcPr>
    </w:tblStylePr>
  </w:style>
  <w:style w:type="table" w:styleId="ColorfulList-Accent2">
    <w:name w:val="Colorful List Accent 2"/>
    <w:basedOn w:val="TableNormal"/>
    <w:uiPriority w:val="98"/>
    <w:rsid w:val="00BF744B"/>
    <w:rPr>
      <w:color w:val="000000" w:themeColor="text1"/>
    </w:rPr>
    <w:tblPr>
      <w:tblStyleRowBandSize w:val="1"/>
      <w:tblStyleColBandSize w:val="1"/>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98"/>
    <w:rsid w:val="00BF744B"/>
    <w:rPr>
      <w:color w:val="000000" w:themeColor="text1"/>
    </w:rPr>
    <w:tblPr>
      <w:tblStyleRowBandSize w:val="1"/>
      <w:tblStyleColBandSize w:val="1"/>
    </w:tblPr>
    <w:tcPr>
      <w:shd w:val="clear" w:color="auto" w:fill="E5EE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182A1" w:themeFill="accent4" w:themeFillShade="CC"/>
      </w:tcPr>
    </w:tblStylePr>
    <w:tblStylePr w:type="lastRow">
      <w:rPr>
        <w:b/>
        <w:bCs/>
        <w:color w:val="6182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D5F2" w:themeFill="accent3" w:themeFillTint="3F"/>
      </w:tcPr>
    </w:tblStylePr>
    <w:tblStylePr w:type="band1Horz">
      <w:tblPr/>
      <w:tcPr>
        <w:shd w:val="clear" w:color="auto" w:fill="CBDDF5" w:themeFill="accent3" w:themeFillTint="33"/>
      </w:tcPr>
    </w:tblStylePr>
  </w:style>
  <w:style w:type="table" w:styleId="ColorfulList-Accent4">
    <w:name w:val="Colorful List Accent 4"/>
    <w:basedOn w:val="TableNormal"/>
    <w:uiPriority w:val="98"/>
    <w:rsid w:val="00BF744B"/>
    <w:rPr>
      <w:color w:val="000000" w:themeColor="text1"/>
    </w:rPr>
    <w:tblPr>
      <w:tblStyleRowBandSize w:val="1"/>
      <w:tblStyleColBandSize w:val="1"/>
    </w:tblPr>
    <w:tcPr>
      <w:shd w:val="clear" w:color="auto" w:fill="F3F5F8"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1A4A89" w:themeFill="accent3" w:themeFillShade="CC"/>
      </w:tcPr>
    </w:tblStylePr>
    <w:tblStylePr w:type="lastRow">
      <w:rPr>
        <w:b/>
        <w:bCs/>
        <w:color w:val="1A4A8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8EE" w:themeFill="accent4" w:themeFillTint="3F"/>
      </w:tcPr>
    </w:tblStylePr>
    <w:tblStylePr w:type="band1Horz">
      <w:tblPr/>
      <w:tcPr>
        <w:shd w:val="clear" w:color="auto" w:fill="E7ECF1" w:themeFill="accent4" w:themeFillTint="33"/>
      </w:tcPr>
    </w:tblStylePr>
  </w:style>
  <w:style w:type="table" w:styleId="ColorfulList-Accent5">
    <w:name w:val="Colorful List Accent 5"/>
    <w:basedOn w:val="TableNormal"/>
    <w:uiPriority w:val="98"/>
    <w:rsid w:val="00BF744B"/>
    <w:rPr>
      <w:color w:val="000000" w:themeColor="text1"/>
    </w:rPr>
    <w:tblPr>
      <w:tblStyleRowBandSize w:val="1"/>
      <w:tblStyleColBandSize w:val="1"/>
    </w:tblPr>
    <w:tcPr>
      <w:shd w:val="clear" w:color="auto" w:fill="DDFFFA"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2C8E3A" w:themeFill="accent6" w:themeFillShade="CC"/>
      </w:tcPr>
    </w:tblStylePr>
    <w:tblStylePr w:type="lastRow">
      <w:rPr>
        <w:b/>
        <w:bCs/>
        <w:color w:val="2C8E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3" w:themeFill="accent5" w:themeFillTint="3F"/>
      </w:tcPr>
    </w:tblStylePr>
    <w:tblStylePr w:type="band1Horz">
      <w:tblPr/>
      <w:tcPr>
        <w:shd w:val="clear" w:color="auto" w:fill="BAFFF5" w:themeFill="accent5" w:themeFillTint="33"/>
      </w:tcPr>
    </w:tblStylePr>
  </w:style>
  <w:style w:type="table" w:styleId="ColorfulList-Accent6">
    <w:name w:val="Colorful List Accent 6"/>
    <w:basedOn w:val="TableNormal"/>
    <w:uiPriority w:val="98"/>
    <w:rsid w:val="00BF744B"/>
    <w:rPr>
      <w:color w:val="000000" w:themeColor="text1"/>
    </w:rPr>
    <w:tblPr>
      <w:tblStyleRowBandSize w:val="1"/>
      <w:tblStyleColBandSize w:val="1"/>
    </w:tblPr>
    <w:tcPr>
      <w:shd w:val="clear" w:color="auto" w:fill="EAF8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8471" w:themeFill="accent5" w:themeFillShade="CC"/>
      </w:tcPr>
    </w:tblStylePr>
    <w:tblStylePr w:type="lastRow">
      <w:rPr>
        <w:b/>
        <w:bCs/>
        <w:color w:val="00847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D0" w:themeFill="accent6" w:themeFillTint="3F"/>
      </w:tcPr>
    </w:tblStylePr>
    <w:tblStylePr w:type="band1Horz">
      <w:tblPr/>
      <w:tcPr>
        <w:shd w:val="clear" w:color="auto" w:fill="D4F1D9" w:themeFill="accent6" w:themeFillTint="33"/>
      </w:tcPr>
    </w:tblStylePr>
  </w:style>
  <w:style w:type="table" w:styleId="ColorfulShading">
    <w:name w:val="Colorful Shading"/>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C3B6C" w:themeColor="accent1"/>
        <w:bottom w:val="single" w:sz="4" w:space="0" w:color="0C3B6C" w:themeColor="accent1"/>
        <w:right w:val="single" w:sz="4" w:space="0" w:color="0C3B6C" w:themeColor="accent1"/>
        <w:insideH w:val="single" w:sz="4" w:space="0" w:color="FFFFFF" w:themeColor="background1"/>
        <w:insideV w:val="single" w:sz="4" w:space="0" w:color="FFFFFF" w:themeColor="background1"/>
      </w:tblBorders>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2340" w:themeFill="accent1" w:themeFillShade="99"/>
      </w:tcPr>
    </w:tblStylePr>
    <w:tblStylePr w:type="firstCol">
      <w:rPr>
        <w:color w:val="FFFFFF" w:themeColor="background1"/>
      </w:rPr>
      <w:tblPr/>
      <w:tcPr>
        <w:tcBorders>
          <w:top w:val="nil"/>
          <w:left w:val="nil"/>
          <w:bottom w:val="nil"/>
          <w:right w:val="nil"/>
          <w:insideH w:val="single" w:sz="4" w:space="0" w:color="072340" w:themeColor="accent1" w:themeShade="99"/>
          <w:insideV w:val="nil"/>
        </w:tcBorders>
        <w:shd w:val="clear" w:color="auto" w:fill="0723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2340" w:themeFill="accent1" w:themeFillShade="99"/>
      </w:tcPr>
    </w:tblStylePr>
    <w:tblStylePr w:type="band1Vert">
      <w:tblPr/>
      <w:tcPr>
        <w:shd w:val="clear" w:color="auto" w:fill="72AFEF" w:themeFill="accent1" w:themeFillTint="66"/>
      </w:tcPr>
    </w:tblStylePr>
    <w:tblStylePr w:type="band1Horz">
      <w:tblPr/>
      <w:tcPr>
        <w:shd w:val="clear" w:color="auto" w:fill="509B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BF744B"/>
    <w:rPr>
      <w:color w:val="000000" w:themeColor="text1"/>
    </w:rPr>
    <w:tblPr>
      <w:tblStyleRowBandSize w:val="1"/>
      <w:tblStyleColBandSize w:val="1"/>
      <w:tblBorders>
        <w:top w:val="single" w:sz="24" w:space="0" w:color="8AA3BA" w:themeColor="accent4"/>
        <w:left w:val="single" w:sz="4" w:space="0" w:color="215EAC" w:themeColor="accent3"/>
        <w:bottom w:val="single" w:sz="4" w:space="0" w:color="215EAC" w:themeColor="accent3"/>
        <w:right w:val="single" w:sz="4" w:space="0" w:color="215EAC" w:themeColor="accent3"/>
        <w:insideH w:val="single" w:sz="4" w:space="0" w:color="FFFFFF" w:themeColor="background1"/>
        <w:insideV w:val="single" w:sz="4" w:space="0" w:color="FFFFFF" w:themeColor="background1"/>
      </w:tblBorders>
    </w:tblPr>
    <w:tcPr>
      <w:shd w:val="clear" w:color="auto" w:fill="E5EE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AA3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867" w:themeFill="accent3" w:themeFillShade="99"/>
      </w:tcPr>
    </w:tblStylePr>
    <w:tblStylePr w:type="firstCol">
      <w:rPr>
        <w:color w:val="FFFFFF" w:themeColor="background1"/>
      </w:rPr>
      <w:tblPr/>
      <w:tcPr>
        <w:tcBorders>
          <w:top w:val="nil"/>
          <w:left w:val="nil"/>
          <w:bottom w:val="nil"/>
          <w:right w:val="nil"/>
          <w:insideH w:val="single" w:sz="4" w:space="0" w:color="133867" w:themeColor="accent3" w:themeShade="99"/>
          <w:insideV w:val="nil"/>
        </w:tcBorders>
        <w:shd w:val="clear" w:color="auto" w:fill="1338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3867" w:themeFill="accent3" w:themeFillShade="99"/>
      </w:tcPr>
    </w:tblStylePr>
    <w:tblStylePr w:type="band1Vert">
      <w:tblPr/>
      <w:tcPr>
        <w:shd w:val="clear" w:color="auto" w:fill="98BCEB" w:themeFill="accent3" w:themeFillTint="66"/>
      </w:tcPr>
    </w:tblStylePr>
    <w:tblStylePr w:type="band1Horz">
      <w:tblPr/>
      <w:tcPr>
        <w:shd w:val="clear" w:color="auto" w:fill="7FACE6" w:themeFill="accent3" w:themeFillTint="7F"/>
      </w:tcPr>
    </w:tblStylePr>
  </w:style>
  <w:style w:type="table" w:styleId="ColorfulShading-Accent4">
    <w:name w:val="Colorful Shading Accent 4"/>
    <w:basedOn w:val="TableNormal"/>
    <w:uiPriority w:val="98"/>
    <w:rsid w:val="00BF744B"/>
    <w:rPr>
      <w:color w:val="000000" w:themeColor="text1"/>
    </w:rPr>
    <w:tblPr>
      <w:tblStyleRowBandSize w:val="1"/>
      <w:tblStyleColBandSize w:val="1"/>
      <w:tblBorders>
        <w:top w:val="single" w:sz="24" w:space="0" w:color="215EAC" w:themeColor="accent3"/>
        <w:left w:val="single" w:sz="4" w:space="0" w:color="8AA3BA" w:themeColor="accent4"/>
        <w:bottom w:val="single" w:sz="4" w:space="0" w:color="8AA3BA" w:themeColor="accent4"/>
        <w:right w:val="single" w:sz="4" w:space="0" w:color="8AA3BA" w:themeColor="accent4"/>
        <w:insideH w:val="single" w:sz="4" w:space="0" w:color="FFFFFF" w:themeColor="background1"/>
        <w:insideV w:val="single" w:sz="4" w:space="0" w:color="FFFFFF" w:themeColor="background1"/>
      </w:tblBorders>
    </w:tblPr>
    <w:tcPr>
      <w:shd w:val="clear" w:color="auto" w:fill="F3F5F8"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215EA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27A" w:themeFill="accent4" w:themeFillShade="99"/>
      </w:tcPr>
    </w:tblStylePr>
    <w:tblStylePr w:type="firstCol">
      <w:rPr>
        <w:color w:val="FFFFFF" w:themeColor="background1"/>
      </w:rPr>
      <w:tblPr/>
      <w:tcPr>
        <w:tcBorders>
          <w:top w:val="nil"/>
          <w:left w:val="nil"/>
          <w:bottom w:val="nil"/>
          <w:right w:val="nil"/>
          <w:insideH w:val="single" w:sz="4" w:space="0" w:color="48627A" w:themeColor="accent4" w:themeShade="99"/>
          <w:insideV w:val="nil"/>
        </w:tcBorders>
        <w:shd w:val="clear" w:color="auto" w:fill="4862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627A" w:themeFill="accent4" w:themeFillShade="99"/>
      </w:tcPr>
    </w:tblStylePr>
    <w:tblStylePr w:type="band1Vert">
      <w:tblPr/>
      <w:tcPr>
        <w:shd w:val="clear" w:color="auto" w:fill="D0DAE3" w:themeFill="accent4" w:themeFillTint="66"/>
      </w:tcPr>
    </w:tblStylePr>
    <w:tblStylePr w:type="band1Horz">
      <w:tblPr/>
      <w:tcPr>
        <w:shd w:val="clear" w:color="auto" w:fill="C4D1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BF744B"/>
    <w:rPr>
      <w:color w:val="000000" w:themeColor="text1"/>
    </w:rPr>
    <w:tblPr>
      <w:tblStyleRowBandSize w:val="1"/>
      <w:tblStyleColBandSize w:val="1"/>
      <w:tblBorders>
        <w:top w:val="single" w:sz="24" w:space="0" w:color="38B24A" w:themeColor="accent6"/>
        <w:left w:val="single" w:sz="4" w:space="0" w:color="00A68F" w:themeColor="accent5"/>
        <w:bottom w:val="single" w:sz="4" w:space="0" w:color="00A68F" w:themeColor="accent5"/>
        <w:right w:val="single" w:sz="4" w:space="0" w:color="00A68F" w:themeColor="accent5"/>
        <w:insideH w:val="single" w:sz="4" w:space="0" w:color="FFFFFF" w:themeColor="background1"/>
        <w:insideV w:val="single" w:sz="4" w:space="0" w:color="FFFFFF" w:themeColor="background1"/>
      </w:tblBorders>
    </w:tblPr>
    <w:tcPr>
      <w:shd w:val="clear" w:color="auto" w:fill="DDFFFA"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38B24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5" w:themeFill="accent5" w:themeFillShade="99"/>
      </w:tcPr>
    </w:tblStylePr>
    <w:tblStylePr w:type="firstCol">
      <w:rPr>
        <w:color w:val="FFFFFF" w:themeColor="background1"/>
      </w:rPr>
      <w:tblPr/>
      <w:tcPr>
        <w:tcBorders>
          <w:top w:val="nil"/>
          <w:left w:val="nil"/>
          <w:bottom w:val="nil"/>
          <w:right w:val="nil"/>
          <w:insideH w:val="single" w:sz="4" w:space="0" w:color="006355" w:themeColor="accent5" w:themeShade="99"/>
          <w:insideV w:val="nil"/>
        </w:tcBorders>
        <w:shd w:val="clear" w:color="auto" w:fill="0063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355" w:themeFill="accent5" w:themeFillShade="99"/>
      </w:tcPr>
    </w:tblStylePr>
    <w:tblStylePr w:type="band1Vert">
      <w:tblPr/>
      <w:tcPr>
        <w:shd w:val="clear" w:color="auto" w:fill="75FFEB" w:themeFill="accent5" w:themeFillTint="66"/>
      </w:tcPr>
    </w:tblStylePr>
    <w:tblStylePr w:type="band1Horz">
      <w:tblPr/>
      <w:tcPr>
        <w:shd w:val="clear" w:color="auto" w:fill="53FFE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BF744B"/>
    <w:rPr>
      <w:color w:val="000000" w:themeColor="text1"/>
    </w:rPr>
    <w:tblPr>
      <w:tblStyleRowBandSize w:val="1"/>
      <w:tblStyleColBandSize w:val="1"/>
      <w:tblBorders>
        <w:top w:val="single" w:sz="24" w:space="0" w:color="00A68F" w:themeColor="accent5"/>
        <w:left w:val="single" w:sz="4" w:space="0" w:color="38B24A" w:themeColor="accent6"/>
        <w:bottom w:val="single" w:sz="4" w:space="0" w:color="38B24A" w:themeColor="accent6"/>
        <w:right w:val="single" w:sz="4" w:space="0" w:color="38B24A" w:themeColor="accent6"/>
        <w:insideH w:val="single" w:sz="4" w:space="0" w:color="FFFFFF" w:themeColor="background1"/>
        <w:insideV w:val="single" w:sz="4" w:space="0" w:color="FFFFFF" w:themeColor="background1"/>
      </w:tblBorders>
    </w:tblPr>
    <w:tcPr>
      <w:shd w:val="clear" w:color="auto" w:fill="EAF8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A68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A2C" w:themeFill="accent6" w:themeFillShade="99"/>
      </w:tcPr>
    </w:tblStylePr>
    <w:tblStylePr w:type="firstCol">
      <w:rPr>
        <w:color w:val="FFFFFF" w:themeColor="background1"/>
      </w:rPr>
      <w:tblPr/>
      <w:tcPr>
        <w:tcBorders>
          <w:top w:val="nil"/>
          <w:left w:val="nil"/>
          <w:bottom w:val="nil"/>
          <w:right w:val="nil"/>
          <w:insideH w:val="single" w:sz="4" w:space="0" w:color="216A2C" w:themeColor="accent6" w:themeShade="99"/>
          <w:insideV w:val="nil"/>
        </w:tcBorders>
        <w:shd w:val="clear" w:color="auto" w:fill="216A2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6A2C" w:themeFill="accent6" w:themeFillShade="99"/>
      </w:tcPr>
    </w:tblStylePr>
    <w:tblStylePr w:type="band1Vert">
      <w:tblPr/>
      <w:tcPr>
        <w:shd w:val="clear" w:color="auto" w:fill="AAE4B3" w:themeFill="accent6" w:themeFillTint="66"/>
      </w:tcPr>
    </w:tblStylePr>
    <w:tblStylePr w:type="band1Horz">
      <w:tblPr/>
      <w:tcPr>
        <w:shd w:val="clear" w:color="auto" w:fill="96DE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BF744B"/>
    <w:rPr>
      <w:rFonts w:asciiTheme="minorHAnsi" w:hAnsiTheme="minorHAnsi"/>
      <w:sz w:val="16"/>
      <w:szCs w:val="16"/>
    </w:rPr>
  </w:style>
  <w:style w:type="paragraph" w:styleId="CommentText">
    <w:name w:val="annotation text"/>
    <w:basedOn w:val="Normal"/>
    <w:link w:val="CommentTextChar"/>
    <w:uiPriority w:val="97"/>
    <w:semiHidden/>
    <w:rsid w:val="00BF744B"/>
  </w:style>
  <w:style w:type="character" w:customStyle="1" w:styleId="CommentTextChar">
    <w:name w:val="Comment Text Char"/>
    <w:basedOn w:val="DefaultParagraphFont"/>
    <w:link w:val="CommentText"/>
    <w:rsid w:val="00BF744B"/>
    <w:rPr>
      <w:rFonts w:asciiTheme="minorHAnsi" w:hAnsiTheme="minorHAnsi"/>
    </w:rPr>
  </w:style>
  <w:style w:type="paragraph" w:styleId="CommentSubject">
    <w:name w:val="annotation subject"/>
    <w:basedOn w:val="CommentText"/>
    <w:next w:val="CommentText"/>
    <w:link w:val="CommentSubjectChar"/>
    <w:uiPriority w:val="97"/>
    <w:semiHidden/>
    <w:rsid w:val="00BF744B"/>
    <w:rPr>
      <w:b/>
      <w:bCs/>
    </w:rPr>
  </w:style>
  <w:style w:type="character" w:customStyle="1" w:styleId="CommentSubjectChar">
    <w:name w:val="Comment Subject Char"/>
    <w:basedOn w:val="CommentTextChar"/>
    <w:link w:val="CommentSubject"/>
    <w:rsid w:val="00BF744B"/>
    <w:rPr>
      <w:rFonts w:asciiTheme="minorHAnsi" w:hAnsiTheme="minorHAnsi"/>
      <w:b/>
      <w:bCs/>
    </w:rPr>
  </w:style>
  <w:style w:type="table" w:styleId="DarkList">
    <w:name w:val="Dark List"/>
    <w:basedOn w:val="TableNormal"/>
    <w:uiPriority w:val="98"/>
    <w:rsid w:val="00BF744B"/>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BF744B"/>
    <w:rPr>
      <w:color w:val="FFFFFF" w:themeColor="background1"/>
    </w:rPr>
    <w:tblPr>
      <w:tblStyleRowBandSize w:val="1"/>
      <w:tblStyleColBandSize w:val="1"/>
    </w:tblPr>
    <w:tcPr>
      <w:shd w:val="clear" w:color="auto" w:fill="0C3B6C"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D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2B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2B50" w:themeFill="accent1" w:themeFillShade="BF"/>
      </w:tcPr>
    </w:tblStylePr>
    <w:tblStylePr w:type="band1Vert">
      <w:tblPr/>
      <w:tcPr>
        <w:tcBorders>
          <w:top w:val="nil"/>
          <w:left w:val="nil"/>
          <w:bottom w:val="nil"/>
          <w:right w:val="nil"/>
          <w:insideH w:val="nil"/>
          <w:insideV w:val="nil"/>
        </w:tcBorders>
        <w:shd w:val="clear" w:color="auto" w:fill="092B50" w:themeFill="accent1" w:themeFillShade="BF"/>
      </w:tcPr>
    </w:tblStylePr>
    <w:tblStylePr w:type="band1Horz">
      <w:tblPr/>
      <w:tcPr>
        <w:tcBorders>
          <w:top w:val="nil"/>
          <w:left w:val="nil"/>
          <w:bottom w:val="nil"/>
          <w:right w:val="nil"/>
          <w:insideH w:val="nil"/>
          <w:insideV w:val="nil"/>
        </w:tcBorders>
        <w:shd w:val="clear" w:color="auto" w:fill="092B50" w:themeFill="accent1" w:themeFillShade="BF"/>
      </w:tcPr>
    </w:tblStylePr>
  </w:style>
  <w:style w:type="table" w:styleId="DarkList-Accent2">
    <w:name w:val="Dark List Accent 2"/>
    <w:basedOn w:val="TableNormal"/>
    <w:uiPriority w:val="98"/>
    <w:rsid w:val="00BF744B"/>
    <w:rPr>
      <w:color w:val="FFFFFF" w:themeColor="background1"/>
    </w:rPr>
    <w:tblPr>
      <w:tblStyleRowBandSize w:val="1"/>
      <w:tblStyleColBandSize w:val="1"/>
    </w:tblPr>
    <w:tcPr>
      <w:shd w:val="clear" w:color="auto" w:fill="009FDF"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98"/>
    <w:rsid w:val="00BF744B"/>
    <w:rPr>
      <w:color w:val="FFFFFF" w:themeColor="background1"/>
    </w:rPr>
    <w:tblPr>
      <w:tblStyleRowBandSize w:val="1"/>
      <w:tblStyleColBandSize w:val="1"/>
    </w:tblPr>
    <w:tcPr>
      <w:shd w:val="clear" w:color="auto" w:fill="215EAC"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E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8458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84580" w:themeFill="accent3" w:themeFillShade="BF"/>
      </w:tcPr>
    </w:tblStylePr>
    <w:tblStylePr w:type="band1Vert">
      <w:tblPr/>
      <w:tcPr>
        <w:tcBorders>
          <w:top w:val="nil"/>
          <w:left w:val="nil"/>
          <w:bottom w:val="nil"/>
          <w:right w:val="nil"/>
          <w:insideH w:val="nil"/>
          <w:insideV w:val="nil"/>
        </w:tcBorders>
        <w:shd w:val="clear" w:color="auto" w:fill="184580" w:themeFill="accent3" w:themeFillShade="BF"/>
      </w:tcPr>
    </w:tblStylePr>
    <w:tblStylePr w:type="band1Horz">
      <w:tblPr/>
      <w:tcPr>
        <w:tcBorders>
          <w:top w:val="nil"/>
          <w:left w:val="nil"/>
          <w:bottom w:val="nil"/>
          <w:right w:val="nil"/>
          <w:insideH w:val="nil"/>
          <w:insideV w:val="nil"/>
        </w:tcBorders>
        <w:shd w:val="clear" w:color="auto" w:fill="184580" w:themeFill="accent3" w:themeFillShade="BF"/>
      </w:tcPr>
    </w:tblStylePr>
  </w:style>
  <w:style w:type="table" w:styleId="DarkList-Accent4">
    <w:name w:val="Dark List Accent 4"/>
    <w:basedOn w:val="TableNormal"/>
    <w:uiPriority w:val="98"/>
    <w:rsid w:val="00BF744B"/>
    <w:rPr>
      <w:color w:val="FFFFFF" w:themeColor="background1"/>
    </w:rPr>
    <w:tblPr>
      <w:tblStyleRowBandSize w:val="1"/>
      <w:tblStyleColBandSize w:val="1"/>
    </w:tblPr>
    <w:tcPr>
      <w:shd w:val="clear" w:color="auto" w:fill="8AA3BA"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1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7A9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7A98" w:themeFill="accent4" w:themeFillShade="BF"/>
      </w:tcPr>
    </w:tblStylePr>
    <w:tblStylePr w:type="band1Vert">
      <w:tblPr/>
      <w:tcPr>
        <w:tcBorders>
          <w:top w:val="nil"/>
          <w:left w:val="nil"/>
          <w:bottom w:val="nil"/>
          <w:right w:val="nil"/>
          <w:insideH w:val="nil"/>
          <w:insideV w:val="nil"/>
        </w:tcBorders>
        <w:shd w:val="clear" w:color="auto" w:fill="5A7A98" w:themeFill="accent4" w:themeFillShade="BF"/>
      </w:tcPr>
    </w:tblStylePr>
    <w:tblStylePr w:type="band1Horz">
      <w:tblPr/>
      <w:tcPr>
        <w:tcBorders>
          <w:top w:val="nil"/>
          <w:left w:val="nil"/>
          <w:bottom w:val="nil"/>
          <w:right w:val="nil"/>
          <w:insideH w:val="nil"/>
          <w:insideV w:val="nil"/>
        </w:tcBorders>
        <w:shd w:val="clear" w:color="auto" w:fill="5A7A98" w:themeFill="accent4" w:themeFillShade="BF"/>
      </w:tcPr>
    </w:tblStylePr>
  </w:style>
  <w:style w:type="table" w:styleId="DarkList-Accent5">
    <w:name w:val="Dark List Accent 5"/>
    <w:basedOn w:val="TableNormal"/>
    <w:uiPriority w:val="98"/>
    <w:rsid w:val="00BF744B"/>
    <w:rPr>
      <w:color w:val="FFFFFF" w:themeColor="background1"/>
    </w:rPr>
    <w:tblPr>
      <w:tblStyleRowBandSize w:val="1"/>
      <w:tblStyleColBandSize w:val="1"/>
    </w:tblPr>
    <w:tcPr>
      <w:shd w:val="clear" w:color="auto" w:fill="00A68F"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C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C6A" w:themeFill="accent5" w:themeFillShade="BF"/>
      </w:tcPr>
    </w:tblStylePr>
    <w:tblStylePr w:type="band1Vert">
      <w:tblPr/>
      <w:tcPr>
        <w:tcBorders>
          <w:top w:val="nil"/>
          <w:left w:val="nil"/>
          <w:bottom w:val="nil"/>
          <w:right w:val="nil"/>
          <w:insideH w:val="nil"/>
          <w:insideV w:val="nil"/>
        </w:tcBorders>
        <w:shd w:val="clear" w:color="auto" w:fill="007C6A" w:themeFill="accent5" w:themeFillShade="BF"/>
      </w:tcPr>
    </w:tblStylePr>
    <w:tblStylePr w:type="band1Horz">
      <w:tblPr/>
      <w:tcPr>
        <w:tcBorders>
          <w:top w:val="nil"/>
          <w:left w:val="nil"/>
          <w:bottom w:val="nil"/>
          <w:right w:val="nil"/>
          <w:insideH w:val="nil"/>
          <w:insideV w:val="nil"/>
        </w:tcBorders>
        <w:shd w:val="clear" w:color="auto" w:fill="007C6A" w:themeFill="accent5" w:themeFillShade="BF"/>
      </w:tcPr>
    </w:tblStylePr>
  </w:style>
  <w:style w:type="table" w:styleId="DarkList-Accent6">
    <w:name w:val="Dark List Accent 6"/>
    <w:basedOn w:val="TableNormal"/>
    <w:uiPriority w:val="98"/>
    <w:rsid w:val="00BF744B"/>
    <w:rPr>
      <w:color w:val="FFFFFF" w:themeColor="background1"/>
    </w:rPr>
    <w:tblPr>
      <w:tblStyleRowBandSize w:val="1"/>
      <w:tblStyleColBandSize w:val="1"/>
    </w:tblPr>
    <w:tcPr>
      <w:shd w:val="clear" w:color="auto" w:fill="38B24A"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8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A853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A8537" w:themeFill="accent6" w:themeFillShade="BF"/>
      </w:tcPr>
    </w:tblStylePr>
    <w:tblStylePr w:type="band1Vert">
      <w:tblPr/>
      <w:tcPr>
        <w:tcBorders>
          <w:top w:val="nil"/>
          <w:left w:val="nil"/>
          <w:bottom w:val="nil"/>
          <w:right w:val="nil"/>
          <w:insideH w:val="nil"/>
          <w:insideV w:val="nil"/>
        </w:tcBorders>
        <w:shd w:val="clear" w:color="auto" w:fill="2A8537" w:themeFill="accent6" w:themeFillShade="BF"/>
      </w:tcPr>
    </w:tblStylePr>
    <w:tblStylePr w:type="band1Horz">
      <w:tblPr/>
      <w:tcPr>
        <w:tcBorders>
          <w:top w:val="nil"/>
          <w:left w:val="nil"/>
          <w:bottom w:val="nil"/>
          <w:right w:val="nil"/>
          <w:insideH w:val="nil"/>
          <w:insideV w:val="nil"/>
        </w:tcBorders>
        <w:shd w:val="clear" w:color="auto" w:fill="2A8537" w:themeFill="accent6" w:themeFillShade="BF"/>
      </w:tcPr>
    </w:tblStylePr>
  </w:style>
  <w:style w:type="paragraph" w:styleId="Date">
    <w:name w:val="Date"/>
    <w:basedOn w:val="Normal"/>
    <w:next w:val="Normal"/>
    <w:link w:val="DateChar"/>
    <w:uiPriority w:val="97"/>
    <w:qFormat/>
    <w:rsid w:val="00350DDC"/>
    <w:rPr>
      <w:color w:val="0C3B6C" w:themeColor="accent1"/>
    </w:rPr>
  </w:style>
  <w:style w:type="character" w:customStyle="1" w:styleId="DateChar">
    <w:name w:val="Date Char"/>
    <w:basedOn w:val="DefaultParagraphFont"/>
    <w:link w:val="Date"/>
    <w:uiPriority w:val="97"/>
    <w:rsid w:val="00350DDC"/>
    <w:rPr>
      <w:rFonts w:asciiTheme="minorHAnsi" w:hAnsiTheme="minorHAnsi"/>
      <w:color w:val="0C3B6C" w:themeColor="accent1"/>
      <w:spacing w:val="-1"/>
      <w:sz w:val="22"/>
    </w:rPr>
  </w:style>
  <w:style w:type="paragraph" w:styleId="DocumentMap">
    <w:name w:val="Document Map"/>
    <w:basedOn w:val="Normal"/>
    <w:link w:val="DocumentMapChar"/>
    <w:uiPriority w:val="97"/>
    <w:semiHidden/>
    <w:rsid w:val="00BF744B"/>
    <w:rPr>
      <w:rFonts w:cs="Tahoma"/>
      <w:sz w:val="16"/>
      <w:szCs w:val="16"/>
    </w:rPr>
  </w:style>
  <w:style w:type="character" w:customStyle="1" w:styleId="DocumentMapChar">
    <w:name w:val="Document Map Char"/>
    <w:basedOn w:val="DefaultParagraphFont"/>
    <w:link w:val="DocumentMap"/>
    <w:rsid w:val="00BF744B"/>
    <w:rPr>
      <w:rFonts w:asciiTheme="minorHAnsi" w:hAnsiTheme="minorHAnsi" w:cs="Tahoma"/>
      <w:sz w:val="16"/>
      <w:szCs w:val="16"/>
    </w:rPr>
  </w:style>
  <w:style w:type="paragraph" w:styleId="E-mailSignature">
    <w:name w:val="E-mail Signature"/>
    <w:basedOn w:val="Normal"/>
    <w:link w:val="E-mailSignatureChar"/>
    <w:uiPriority w:val="97"/>
    <w:semiHidden/>
    <w:rsid w:val="00BF744B"/>
  </w:style>
  <w:style w:type="character" w:customStyle="1" w:styleId="E-mailSignatureChar">
    <w:name w:val="E-mail Signature Char"/>
    <w:basedOn w:val="DefaultParagraphFont"/>
    <w:link w:val="E-mailSignature"/>
    <w:rsid w:val="00BF744B"/>
    <w:rPr>
      <w:rFonts w:asciiTheme="minorHAnsi" w:hAnsiTheme="minorHAnsi"/>
    </w:rPr>
  </w:style>
  <w:style w:type="character" w:styleId="Emphasis">
    <w:name w:val="Emphasis"/>
    <w:basedOn w:val="DefaultParagraphFont"/>
    <w:uiPriority w:val="20"/>
    <w:qFormat/>
    <w:rsid w:val="00BF744B"/>
    <w:rPr>
      <w:rFonts w:asciiTheme="minorHAnsi" w:hAnsiTheme="minorHAnsi"/>
      <w:i/>
      <w:iCs/>
    </w:rPr>
  </w:style>
  <w:style w:type="character" w:styleId="EndnoteReference">
    <w:name w:val="endnote reference"/>
    <w:basedOn w:val="DefaultParagraphFont"/>
    <w:uiPriority w:val="97"/>
    <w:semiHidden/>
    <w:rsid w:val="00BF744B"/>
    <w:rPr>
      <w:rFonts w:asciiTheme="minorHAnsi" w:hAnsiTheme="minorHAnsi"/>
      <w:vertAlign w:val="superscript"/>
    </w:rPr>
  </w:style>
  <w:style w:type="paragraph" w:styleId="EndnoteText">
    <w:name w:val="endnote text"/>
    <w:basedOn w:val="Normal"/>
    <w:link w:val="EndnoteTextChar"/>
    <w:uiPriority w:val="97"/>
    <w:semiHidden/>
    <w:rsid w:val="00BF744B"/>
  </w:style>
  <w:style w:type="character" w:customStyle="1" w:styleId="EndnoteTextChar">
    <w:name w:val="Endnote Text Char"/>
    <w:basedOn w:val="DefaultParagraphFont"/>
    <w:link w:val="EndnoteText"/>
    <w:rsid w:val="00BF744B"/>
    <w:rPr>
      <w:rFonts w:asciiTheme="minorHAnsi" w:hAnsiTheme="minorHAnsi"/>
    </w:rPr>
  </w:style>
  <w:style w:type="paragraph" w:styleId="EnvelopeAddress">
    <w:name w:val="envelope address"/>
    <w:basedOn w:val="Normal"/>
    <w:uiPriority w:val="97"/>
    <w:semiHidden/>
    <w:rsid w:val="00BF744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BF744B"/>
    <w:rPr>
      <w:rFonts w:eastAsiaTheme="majorEastAsia" w:cstheme="majorBidi"/>
    </w:rPr>
  </w:style>
  <w:style w:type="character" w:styleId="FollowedHyperlink">
    <w:name w:val="FollowedHyperlink"/>
    <w:basedOn w:val="DefaultParagraphFont"/>
    <w:semiHidden/>
    <w:qFormat/>
    <w:rsid w:val="006119D0"/>
    <w:rPr>
      <w:color w:val="EF4338" w:themeColor="followedHyperlink"/>
      <w:u w:val="single"/>
    </w:rPr>
  </w:style>
  <w:style w:type="paragraph" w:styleId="Footer">
    <w:name w:val="footer"/>
    <w:basedOn w:val="Normal"/>
    <w:link w:val="FooterChar"/>
    <w:rsid w:val="00A13D3E"/>
    <w:pPr>
      <w:spacing w:after="0"/>
    </w:pPr>
    <w:rPr>
      <w:color w:val="0C3B6C" w:themeColor="accent1"/>
      <w:sz w:val="14"/>
    </w:rPr>
  </w:style>
  <w:style w:type="character" w:customStyle="1" w:styleId="FooterChar">
    <w:name w:val="Footer Char"/>
    <w:basedOn w:val="DefaultParagraphFont"/>
    <w:link w:val="Footer"/>
    <w:uiPriority w:val="9"/>
    <w:rsid w:val="00A13D3E"/>
    <w:rPr>
      <w:rFonts w:asciiTheme="minorHAnsi" w:hAnsiTheme="minorHAnsi"/>
      <w:color w:val="0C3B6C" w:themeColor="accent1"/>
      <w:spacing w:val="-1"/>
      <w:sz w:val="14"/>
    </w:rPr>
  </w:style>
  <w:style w:type="character" w:styleId="FootnoteReference">
    <w:name w:val="footnote reference"/>
    <w:basedOn w:val="DefaultParagraphFont"/>
    <w:uiPriority w:val="99"/>
    <w:rsid w:val="00BF744B"/>
    <w:rPr>
      <w:rFonts w:asciiTheme="minorHAnsi" w:hAnsiTheme="minorHAnsi"/>
      <w:vertAlign w:val="superscript"/>
    </w:rPr>
  </w:style>
  <w:style w:type="paragraph" w:styleId="FootnoteText">
    <w:name w:val="footnote text"/>
    <w:aliases w:val="Car"/>
    <w:basedOn w:val="Normal"/>
    <w:link w:val="FootnoteTextChar"/>
    <w:uiPriority w:val="99"/>
    <w:qFormat/>
    <w:rsid w:val="006F68B2"/>
    <w:pPr>
      <w:spacing w:after="0"/>
    </w:pPr>
    <w:rPr>
      <w:sz w:val="15"/>
    </w:rPr>
  </w:style>
  <w:style w:type="character" w:customStyle="1" w:styleId="FootnoteTextChar">
    <w:name w:val="Footnote Text Char"/>
    <w:aliases w:val="Car Char"/>
    <w:basedOn w:val="DefaultParagraphFont"/>
    <w:link w:val="FootnoteText"/>
    <w:uiPriority w:val="99"/>
    <w:rsid w:val="006F68B2"/>
    <w:rPr>
      <w:rFonts w:asciiTheme="minorHAnsi" w:hAnsiTheme="minorHAnsi"/>
      <w:color w:val="000000" w:themeColor="text1"/>
      <w:spacing w:val="-1"/>
      <w:sz w:val="15"/>
    </w:rPr>
  </w:style>
  <w:style w:type="paragraph" w:styleId="Header">
    <w:name w:val="header"/>
    <w:basedOn w:val="Normal"/>
    <w:link w:val="HeaderChar"/>
    <w:uiPriority w:val="99"/>
    <w:rsid w:val="006F68B2"/>
    <w:pPr>
      <w:spacing w:after="0" w:line="200" w:lineRule="atLeast"/>
    </w:pPr>
    <w:rPr>
      <w:w w:val="97"/>
      <w:sz w:val="17"/>
    </w:rPr>
  </w:style>
  <w:style w:type="character" w:customStyle="1" w:styleId="HeaderChar">
    <w:name w:val="Header Char"/>
    <w:basedOn w:val="DefaultParagraphFont"/>
    <w:link w:val="Header"/>
    <w:uiPriority w:val="99"/>
    <w:rsid w:val="006F68B2"/>
    <w:rPr>
      <w:rFonts w:asciiTheme="minorHAnsi" w:hAnsiTheme="minorHAnsi"/>
      <w:color w:val="000000" w:themeColor="text1"/>
      <w:spacing w:val="-1"/>
      <w:w w:val="97"/>
      <w:sz w:val="17"/>
    </w:rPr>
  </w:style>
  <w:style w:type="character" w:styleId="HTMLAcronym">
    <w:name w:val="HTML Acronym"/>
    <w:basedOn w:val="DefaultParagraphFont"/>
    <w:uiPriority w:val="97"/>
    <w:semiHidden/>
    <w:rsid w:val="00BF744B"/>
    <w:rPr>
      <w:rFonts w:asciiTheme="minorHAnsi" w:hAnsiTheme="minorHAnsi"/>
    </w:rPr>
  </w:style>
  <w:style w:type="paragraph" w:styleId="HTMLAddress">
    <w:name w:val="HTML Address"/>
    <w:basedOn w:val="Normal"/>
    <w:link w:val="HTMLAddressChar"/>
    <w:uiPriority w:val="97"/>
    <w:semiHidden/>
    <w:rsid w:val="00BF744B"/>
    <w:rPr>
      <w:i/>
      <w:iCs/>
    </w:rPr>
  </w:style>
  <w:style w:type="character" w:customStyle="1" w:styleId="HTMLAddressChar">
    <w:name w:val="HTML Address Char"/>
    <w:basedOn w:val="DefaultParagraphFont"/>
    <w:link w:val="HTMLAddress"/>
    <w:rsid w:val="00BF744B"/>
    <w:rPr>
      <w:rFonts w:asciiTheme="minorHAnsi" w:hAnsiTheme="minorHAnsi"/>
      <w:i/>
      <w:iCs/>
    </w:rPr>
  </w:style>
  <w:style w:type="character" w:styleId="HTMLCite">
    <w:name w:val="HTML Cite"/>
    <w:basedOn w:val="DefaultParagraphFont"/>
    <w:uiPriority w:val="97"/>
    <w:semiHidden/>
    <w:rsid w:val="00BF744B"/>
    <w:rPr>
      <w:rFonts w:asciiTheme="minorHAnsi" w:hAnsiTheme="minorHAnsi"/>
      <w:i/>
      <w:iCs/>
    </w:rPr>
  </w:style>
  <w:style w:type="character" w:styleId="HTMLCode">
    <w:name w:val="HTML Code"/>
    <w:basedOn w:val="DefaultParagraphFont"/>
    <w:uiPriority w:val="97"/>
    <w:semiHidden/>
    <w:rsid w:val="00BF744B"/>
    <w:rPr>
      <w:rFonts w:ascii="Consolas" w:hAnsi="Consolas" w:cs="Consolas"/>
      <w:sz w:val="20"/>
      <w:szCs w:val="20"/>
    </w:rPr>
  </w:style>
  <w:style w:type="character" w:styleId="HTMLDefinition">
    <w:name w:val="HTML Definition"/>
    <w:basedOn w:val="DefaultParagraphFont"/>
    <w:uiPriority w:val="97"/>
    <w:semiHidden/>
    <w:rsid w:val="00BF744B"/>
    <w:rPr>
      <w:rFonts w:asciiTheme="minorHAnsi" w:hAnsiTheme="minorHAnsi"/>
      <w:i/>
      <w:iCs/>
    </w:rPr>
  </w:style>
  <w:style w:type="character" w:styleId="HTMLKeyboard">
    <w:name w:val="HTML Keyboard"/>
    <w:basedOn w:val="DefaultParagraphFont"/>
    <w:uiPriority w:val="97"/>
    <w:semiHidden/>
    <w:rsid w:val="00BF744B"/>
    <w:rPr>
      <w:rFonts w:ascii="Consolas" w:hAnsi="Consolas" w:cs="Consolas"/>
      <w:sz w:val="20"/>
      <w:szCs w:val="20"/>
    </w:rPr>
  </w:style>
  <w:style w:type="paragraph" w:styleId="HTMLPreformatted">
    <w:name w:val="HTML Preformatted"/>
    <w:basedOn w:val="Normal"/>
    <w:link w:val="HTMLPreformattedChar"/>
    <w:uiPriority w:val="97"/>
    <w:semiHidden/>
    <w:rsid w:val="00BF744B"/>
    <w:rPr>
      <w:rFonts w:cs="Consolas"/>
    </w:rPr>
  </w:style>
  <w:style w:type="character" w:customStyle="1" w:styleId="HTMLPreformattedChar">
    <w:name w:val="HTML Preformatted Char"/>
    <w:basedOn w:val="DefaultParagraphFont"/>
    <w:link w:val="HTMLPreformatted"/>
    <w:rsid w:val="00BF744B"/>
    <w:rPr>
      <w:rFonts w:asciiTheme="minorHAnsi" w:hAnsiTheme="minorHAnsi" w:cs="Consolas"/>
    </w:rPr>
  </w:style>
  <w:style w:type="character" w:styleId="HTMLSample">
    <w:name w:val="HTML Sample"/>
    <w:basedOn w:val="DefaultParagraphFont"/>
    <w:uiPriority w:val="97"/>
    <w:semiHidden/>
    <w:rsid w:val="00BF744B"/>
    <w:rPr>
      <w:rFonts w:ascii="Consolas" w:hAnsi="Consolas" w:cs="Consolas"/>
      <w:sz w:val="24"/>
      <w:szCs w:val="24"/>
    </w:rPr>
  </w:style>
  <w:style w:type="character" w:styleId="HTMLTypewriter">
    <w:name w:val="HTML Typewriter"/>
    <w:basedOn w:val="DefaultParagraphFont"/>
    <w:uiPriority w:val="97"/>
    <w:semiHidden/>
    <w:rsid w:val="00BF744B"/>
    <w:rPr>
      <w:rFonts w:ascii="Consolas" w:hAnsi="Consolas" w:cs="Consolas"/>
      <w:sz w:val="20"/>
      <w:szCs w:val="20"/>
    </w:rPr>
  </w:style>
  <w:style w:type="character" w:styleId="HTMLVariable">
    <w:name w:val="HTML Variable"/>
    <w:basedOn w:val="DefaultParagraphFont"/>
    <w:uiPriority w:val="97"/>
    <w:semiHidden/>
    <w:rsid w:val="00BF744B"/>
    <w:rPr>
      <w:rFonts w:asciiTheme="minorHAnsi" w:hAnsiTheme="minorHAnsi"/>
      <w:i/>
      <w:iCs/>
    </w:rPr>
  </w:style>
  <w:style w:type="character" w:styleId="Hyperlink">
    <w:name w:val="Hyperlink"/>
    <w:basedOn w:val="DefaultParagraphFont"/>
    <w:semiHidden/>
    <w:rsid w:val="003B6496"/>
    <w:rPr>
      <w:color w:val="FFC74A" w:themeColor="hyperlink"/>
      <w:u w:val="single"/>
    </w:rPr>
  </w:style>
  <w:style w:type="paragraph" w:styleId="Index1">
    <w:name w:val="index 1"/>
    <w:basedOn w:val="Normal"/>
    <w:next w:val="Normal"/>
    <w:autoRedefine/>
    <w:uiPriority w:val="97"/>
    <w:semiHidden/>
    <w:rsid w:val="00BF744B"/>
    <w:pPr>
      <w:ind w:left="200" w:hanging="200"/>
    </w:pPr>
  </w:style>
  <w:style w:type="paragraph" w:styleId="Index2">
    <w:name w:val="index 2"/>
    <w:basedOn w:val="Normal"/>
    <w:next w:val="Normal"/>
    <w:autoRedefine/>
    <w:uiPriority w:val="97"/>
    <w:semiHidden/>
    <w:rsid w:val="00BF744B"/>
    <w:pPr>
      <w:ind w:left="400" w:hanging="200"/>
    </w:pPr>
  </w:style>
  <w:style w:type="paragraph" w:styleId="Index3">
    <w:name w:val="index 3"/>
    <w:basedOn w:val="Normal"/>
    <w:next w:val="Normal"/>
    <w:autoRedefine/>
    <w:uiPriority w:val="97"/>
    <w:semiHidden/>
    <w:rsid w:val="00BF744B"/>
    <w:pPr>
      <w:ind w:left="600" w:hanging="200"/>
    </w:pPr>
  </w:style>
  <w:style w:type="paragraph" w:styleId="Index4">
    <w:name w:val="index 4"/>
    <w:basedOn w:val="Normal"/>
    <w:next w:val="Normal"/>
    <w:autoRedefine/>
    <w:uiPriority w:val="97"/>
    <w:semiHidden/>
    <w:rsid w:val="00BF744B"/>
    <w:pPr>
      <w:ind w:left="800" w:hanging="200"/>
    </w:pPr>
  </w:style>
  <w:style w:type="paragraph" w:styleId="Index5">
    <w:name w:val="index 5"/>
    <w:basedOn w:val="Normal"/>
    <w:next w:val="Normal"/>
    <w:autoRedefine/>
    <w:uiPriority w:val="97"/>
    <w:semiHidden/>
    <w:rsid w:val="00BF744B"/>
    <w:pPr>
      <w:ind w:left="1000" w:hanging="200"/>
    </w:pPr>
  </w:style>
  <w:style w:type="paragraph" w:styleId="Index6">
    <w:name w:val="index 6"/>
    <w:basedOn w:val="Normal"/>
    <w:next w:val="Normal"/>
    <w:autoRedefine/>
    <w:uiPriority w:val="97"/>
    <w:semiHidden/>
    <w:rsid w:val="00BF744B"/>
    <w:pPr>
      <w:ind w:left="1200" w:hanging="200"/>
    </w:pPr>
  </w:style>
  <w:style w:type="paragraph" w:styleId="Index7">
    <w:name w:val="index 7"/>
    <w:basedOn w:val="Normal"/>
    <w:next w:val="Normal"/>
    <w:autoRedefine/>
    <w:uiPriority w:val="97"/>
    <w:semiHidden/>
    <w:rsid w:val="00BF744B"/>
    <w:pPr>
      <w:ind w:left="1400" w:hanging="200"/>
    </w:pPr>
  </w:style>
  <w:style w:type="paragraph" w:styleId="Index8">
    <w:name w:val="index 8"/>
    <w:basedOn w:val="Normal"/>
    <w:next w:val="Normal"/>
    <w:autoRedefine/>
    <w:uiPriority w:val="97"/>
    <w:semiHidden/>
    <w:rsid w:val="00BF744B"/>
    <w:pPr>
      <w:ind w:left="1600" w:hanging="200"/>
    </w:pPr>
  </w:style>
  <w:style w:type="paragraph" w:styleId="Index9">
    <w:name w:val="index 9"/>
    <w:basedOn w:val="Normal"/>
    <w:next w:val="Normal"/>
    <w:autoRedefine/>
    <w:uiPriority w:val="97"/>
    <w:semiHidden/>
    <w:rsid w:val="00BF744B"/>
    <w:pPr>
      <w:ind w:left="1800" w:hanging="200"/>
    </w:pPr>
  </w:style>
  <w:style w:type="paragraph" w:styleId="IndexHeading">
    <w:name w:val="index heading"/>
    <w:basedOn w:val="Normal"/>
    <w:next w:val="Index1"/>
    <w:uiPriority w:val="97"/>
    <w:semiHidden/>
    <w:rsid w:val="00BF744B"/>
    <w:rPr>
      <w:rFonts w:asciiTheme="majorHAnsi" w:eastAsiaTheme="majorEastAsia" w:hAnsiTheme="majorHAnsi" w:cstheme="majorBidi"/>
      <w:b/>
      <w:bCs/>
    </w:rPr>
  </w:style>
  <w:style w:type="character" w:styleId="IntenseEmphasis">
    <w:name w:val="Intense Emphasis"/>
    <w:basedOn w:val="DefaultParagraphFont"/>
    <w:uiPriority w:val="97"/>
    <w:semiHidden/>
    <w:rsid w:val="00BF744B"/>
    <w:rPr>
      <w:rFonts w:asciiTheme="minorHAnsi" w:hAnsiTheme="minorHAnsi"/>
      <w:b/>
      <w:bCs/>
      <w:i/>
      <w:iCs/>
      <w:color w:val="0C3B6C" w:themeColor="accent1"/>
    </w:rPr>
  </w:style>
  <w:style w:type="paragraph" w:styleId="IntenseQuote">
    <w:name w:val="Intense Quote"/>
    <w:basedOn w:val="Normal"/>
    <w:next w:val="Normal"/>
    <w:link w:val="IntenseQuoteChar"/>
    <w:uiPriority w:val="97"/>
    <w:semiHidden/>
    <w:rsid w:val="00BF744B"/>
    <w:pPr>
      <w:pBdr>
        <w:bottom w:val="single" w:sz="4" w:space="4" w:color="0C3B6C" w:themeColor="accent1"/>
      </w:pBdr>
      <w:spacing w:before="200"/>
      <w:ind w:left="936" w:right="936"/>
    </w:pPr>
    <w:rPr>
      <w:b/>
      <w:bCs/>
      <w:i/>
      <w:iCs/>
      <w:color w:val="0C3B6C" w:themeColor="accent1"/>
    </w:rPr>
  </w:style>
  <w:style w:type="character" w:customStyle="1" w:styleId="IntenseQuoteChar">
    <w:name w:val="Intense Quote Char"/>
    <w:basedOn w:val="DefaultParagraphFont"/>
    <w:link w:val="IntenseQuote"/>
    <w:uiPriority w:val="30"/>
    <w:rsid w:val="00BF744B"/>
    <w:rPr>
      <w:rFonts w:asciiTheme="minorHAnsi" w:hAnsiTheme="minorHAnsi"/>
      <w:b/>
      <w:bCs/>
      <w:i/>
      <w:iCs/>
      <w:color w:val="0C3B6C" w:themeColor="accent1"/>
    </w:rPr>
  </w:style>
  <w:style w:type="character" w:styleId="IntenseReference">
    <w:name w:val="Intense Reference"/>
    <w:basedOn w:val="DefaultParagraphFont"/>
    <w:uiPriority w:val="97"/>
    <w:semiHidden/>
    <w:rsid w:val="00BF744B"/>
    <w:rPr>
      <w:rFonts w:asciiTheme="minorHAnsi" w:hAnsiTheme="minorHAnsi"/>
      <w:b/>
      <w:bCs/>
      <w:smallCaps/>
      <w:color w:val="009FDF" w:themeColor="accent2"/>
      <w:spacing w:val="5"/>
      <w:u w:val="single"/>
    </w:rPr>
  </w:style>
  <w:style w:type="table" w:styleId="LightGrid">
    <w:name w:val="Light Grid"/>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18" w:space="0" w:color="0C3B6C" w:themeColor="accent1"/>
          <w:right w:val="single" w:sz="8" w:space="0" w:color="0C3B6C" w:themeColor="accent1"/>
          <w:insideH w:val="nil"/>
          <w:insideV w:val="single" w:sz="8" w:space="0" w:color="0C3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insideH w:val="nil"/>
          <w:insideV w:val="single" w:sz="8" w:space="0" w:color="0C3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shd w:val="clear" w:color="auto" w:fill="A8CDF5" w:themeFill="accent1" w:themeFillTint="3F"/>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shd w:val="clear" w:color="auto" w:fill="A8CDF5" w:themeFill="accent1" w:themeFillTint="3F"/>
      </w:tcPr>
    </w:tblStylePr>
    <w:tblStylePr w:type="band2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tcPr>
    </w:tblStylePr>
  </w:style>
  <w:style w:type="table" w:styleId="LightGrid-Accent2">
    <w:name w:val="Light Grid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98"/>
    <w:rsid w:val="00BF744B"/>
    <w:tblPr>
      <w:tblStyleRowBandSize w:val="1"/>
      <w:tblStyleColBandSize w:val="1"/>
      <w:tblBorders>
        <w:top w:val="single" w:sz="8" w:space="0" w:color="215EAC" w:themeColor="accent3"/>
        <w:left w:val="single" w:sz="8" w:space="0" w:color="215EAC" w:themeColor="accent3"/>
        <w:bottom w:val="single" w:sz="8" w:space="0" w:color="215EAC" w:themeColor="accent3"/>
        <w:right w:val="single" w:sz="8" w:space="0" w:color="215EAC" w:themeColor="accent3"/>
        <w:insideH w:val="single" w:sz="8" w:space="0" w:color="215EAC" w:themeColor="accent3"/>
        <w:insideV w:val="single" w:sz="8" w:space="0" w:color="215EAC"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215EAC" w:themeColor="accent3"/>
          <w:left w:val="single" w:sz="8" w:space="0" w:color="215EAC" w:themeColor="accent3"/>
          <w:bottom w:val="single" w:sz="18" w:space="0" w:color="215EAC" w:themeColor="accent3"/>
          <w:right w:val="single" w:sz="8" w:space="0" w:color="215EAC" w:themeColor="accent3"/>
          <w:insideH w:val="nil"/>
          <w:insideV w:val="single" w:sz="8" w:space="0" w:color="215EA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5EAC" w:themeColor="accent3"/>
          <w:left w:val="single" w:sz="8" w:space="0" w:color="215EAC" w:themeColor="accent3"/>
          <w:bottom w:val="single" w:sz="8" w:space="0" w:color="215EAC" w:themeColor="accent3"/>
          <w:right w:val="single" w:sz="8" w:space="0" w:color="215EAC" w:themeColor="accent3"/>
          <w:insideH w:val="nil"/>
          <w:insideV w:val="single" w:sz="8" w:space="0" w:color="215EA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5EAC" w:themeColor="accent3"/>
          <w:left w:val="single" w:sz="8" w:space="0" w:color="215EAC" w:themeColor="accent3"/>
          <w:bottom w:val="single" w:sz="8" w:space="0" w:color="215EAC" w:themeColor="accent3"/>
          <w:right w:val="single" w:sz="8" w:space="0" w:color="215EAC" w:themeColor="accent3"/>
        </w:tcBorders>
      </w:tcPr>
    </w:tblStylePr>
    <w:tblStylePr w:type="band1Vert">
      <w:tblPr/>
      <w:tcPr>
        <w:tcBorders>
          <w:top w:val="single" w:sz="8" w:space="0" w:color="215EAC" w:themeColor="accent3"/>
          <w:left w:val="single" w:sz="8" w:space="0" w:color="215EAC" w:themeColor="accent3"/>
          <w:bottom w:val="single" w:sz="8" w:space="0" w:color="215EAC" w:themeColor="accent3"/>
          <w:right w:val="single" w:sz="8" w:space="0" w:color="215EAC" w:themeColor="accent3"/>
        </w:tcBorders>
        <w:shd w:val="clear" w:color="auto" w:fill="BFD5F2" w:themeFill="accent3" w:themeFillTint="3F"/>
      </w:tcPr>
    </w:tblStylePr>
    <w:tblStylePr w:type="band1Horz">
      <w:tblPr/>
      <w:tcPr>
        <w:tcBorders>
          <w:top w:val="single" w:sz="8" w:space="0" w:color="215EAC" w:themeColor="accent3"/>
          <w:left w:val="single" w:sz="8" w:space="0" w:color="215EAC" w:themeColor="accent3"/>
          <w:bottom w:val="single" w:sz="8" w:space="0" w:color="215EAC" w:themeColor="accent3"/>
          <w:right w:val="single" w:sz="8" w:space="0" w:color="215EAC" w:themeColor="accent3"/>
          <w:insideV w:val="single" w:sz="8" w:space="0" w:color="215EAC" w:themeColor="accent3"/>
        </w:tcBorders>
        <w:shd w:val="clear" w:color="auto" w:fill="BFD5F2" w:themeFill="accent3" w:themeFillTint="3F"/>
      </w:tcPr>
    </w:tblStylePr>
    <w:tblStylePr w:type="band2Horz">
      <w:tblPr/>
      <w:tcPr>
        <w:tcBorders>
          <w:top w:val="single" w:sz="8" w:space="0" w:color="215EAC" w:themeColor="accent3"/>
          <w:left w:val="single" w:sz="8" w:space="0" w:color="215EAC" w:themeColor="accent3"/>
          <w:bottom w:val="single" w:sz="8" w:space="0" w:color="215EAC" w:themeColor="accent3"/>
          <w:right w:val="single" w:sz="8" w:space="0" w:color="215EAC" w:themeColor="accent3"/>
          <w:insideV w:val="single" w:sz="8" w:space="0" w:color="215EAC" w:themeColor="accent3"/>
        </w:tcBorders>
      </w:tcPr>
    </w:tblStylePr>
  </w:style>
  <w:style w:type="table" w:styleId="LightGrid-Accent4">
    <w:name w:val="Light Grid Accent 4"/>
    <w:basedOn w:val="TableNormal"/>
    <w:uiPriority w:val="98"/>
    <w:rsid w:val="00BF744B"/>
    <w:tblPr>
      <w:tblStyleRowBandSize w:val="1"/>
      <w:tblStyleColBandSize w:val="1"/>
      <w:tblBorders>
        <w:top w:val="single" w:sz="8" w:space="0" w:color="8AA3BA" w:themeColor="accent4"/>
        <w:left w:val="single" w:sz="8" w:space="0" w:color="8AA3BA" w:themeColor="accent4"/>
        <w:bottom w:val="single" w:sz="8" w:space="0" w:color="8AA3BA" w:themeColor="accent4"/>
        <w:right w:val="single" w:sz="8" w:space="0" w:color="8AA3BA" w:themeColor="accent4"/>
        <w:insideH w:val="single" w:sz="8" w:space="0" w:color="8AA3BA" w:themeColor="accent4"/>
        <w:insideV w:val="single" w:sz="8" w:space="0" w:color="8AA3BA"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AA3BA" w:themeColor="accent4"/>
          <w:left w:val="single" w:sz="8" w:space="0" w:color="8AA3BA" w:themeColor="accent4"/>
          <w:bottom w:val="single" w:sz="18" w:space="0" w:color="8AA3BA" w:themeColor="accent4"/>
          <w:right w:val="single" w:sz="8" w:space="0" w:color="8AA3BA" w:themeColor="accent4"/>
          <w:insideH w:val="nil"/>
          <w:insideV w:val="single" w:sz="8" w:space="0" w:color="8AA3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A3BA" w:themeColor="accent4"/>
          <w:left w:val="single" w:sz="8" w:space="0" w:color="8AA3BA" w:themeColor="accent4"/>
          <w:bottom w:val="single" w:sz="8" w:space="0" w:color="8AA3BA" w:themeColor="accent4"/>
          <w:right w:val="single" w:sz="8" w:space="0" w:color="8AA3BA" w:themeColor="accent4"/>
          <w:insideH w:val="nil"/>
          <w:insideV w:val="single" w:sz="8" w:space="0" w:color="8AA3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A3BA" w:themeColor="accent4"/>
          <w:left w:val="single" w:sz="8" w:space="0" w:color="8AA3BA" w:themeColor="accent4"/>
          <w:bottom w:val="single" w:sz="8" w:space="0" w:color="8AA3BA" w:themeColor="accent4"/>
          <w:right w:val="single" w:sz="8" w:space="0" w:color="8AA3BA" w:themeColor="accent4"/>
        </w:tcBorders>
      </w:tcPr>
    </w:tblStylePr>
    <w:tblStylePr w:type="band1Vert">
      <w:tblPr/>
      <w:tcPr>
        <w:tcBorders>
          <w:top w:val="single" w:sz="8" w:space="0" w:color="8AA3BA" w:themeColor="accent4"/>
          <w:left w:val="single" w:sz="8" w:space="0" w:color="8AA3BA" w:themeColor="accent4"/>
          <w:bottom w:val="single" w:sz="8" w:space="0" w:color="8AA3BA" w:themeColor="accent4"/>
          <w:right w:val="single" w:sz="8" w:space="0" w:color="8AA3BA" w:themeColor="accent4"/>
        </w:tcBorders>
        <w:shd w:val="clear" w:color="auto" w:fill="E2E8EE" w:themeFill="accent4" w:themeFillTint="3F"/>
      </w:tcPr>
    </w:tblStylePr>
    <w:tblStylePr w:type="band1Horz">
      <w:tblPr/>
      <w:tcPr>
        <w:tcBorders>
          <w:top w:val="single" w:sz="8" w:space="0" w:color="8AA3BA" w:themeColor="accent4"/>
          <w:left w:val="single" w:sz="8" w:space="0" w:color="8AA3BA" w:themeColor="accent4"/>
          <w:bottom w:val="single" w:sz="8" w:space="0" w:color="8AA3BA" w:themeColor="accent4"/>
          <w:right w:val="single" w:sz="8" w:space="0" w:color="8AA3BA" w:themeColor="accent4"/>
          <w:insideV w:val="single" w:sz="8" w:space="0" w:color="8AA3BA" w:themeColor="accent4"/>
        </w:tcBorders>
        <w:shd w:val="clear" w:color="auto" w:fill="E2E8EE" w:themeFill="accent4" w:themeFillTint="3F"/>
      </w:tcPr>
    </w:tblStylePr>
    <w:tblStylePr w:type="band2Horz">
      <w:tblPr/>
      <w:tcPr>
        <w:tcBorders>
          <w:top w:val="single" w:sz="8" w:space="0" w:color="8AA3BA" w:themeColor="accent4"/>
          <w:left w:val="single" w:sz="8" w:space="0" w:color="8AA3BA" w:themeColor="accent4"/>
          <w:bottom w:val="single" w:sz="8" w:space="0" w:color="8AA3BA" w:themeColor="accent4"/>
          <w:right w:val="single" w:sz="8" w:space="0" w:color="8AA3BA" w:themeColor="accent4"/>
          <w:insideV w:val="single" w:sz="8" w:space="0" w:color="8AA3BA" w:themeColor="accent4"/>
        </w:tcBorders>
      </w:tcPr>
    </w:tblStylePr>
  </w:style>
  <w:style w:type="table" w:styleId="LightGrid-Accent5">
    <w:name w:val="Light Grid Accent 5"/>
    <w:basedOn w:val="TableNormal"/>
    <w:uiPriority w:val="98"/>
    <w:rsid w:val="00BF744B"/>
    <w:tblPr>
      <w:tblStyleRowBandSize w:val="1"/>
      <w:tblStyleColBandSize w:val="1"/>
      <w:tblBorders>
        <w:top w:val="single" w:sz="8" w:space="0" w:color="00A68F" w:themeColor="accent5"/>
        <w:left w:val="single" w:sz="8" w:space="0" w:color="00A68F" w:themeColor="accent5"/>
        <w:bottom w:val="single" w:sz="8" w:space="0" w:color="00A68F" w:themeColor="accent5"/>
        <w:right w:val="single" w:sz="8" w:space="0" w:color="00A68F" w:themeColor="accent5"/>
        <w:insideH w:val="single" w:sz="8" w:space="0" w:color="00A68F" w:themeColor="accent5"/>
        <w:insideV w:val="single" w:sz="8" w:space="0" w:color="00A68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A68F" w:themeColor="accent5"/>
          <w:left w:val="single" w:sz="8" w:space="0" w:color="00A68F" w:themeColor="accent5"/>
          <w:bottom w:val="single" w:sz="18" w:space="0" w:color="00A68F" w:themeColor="accent5"/>
          <w:right w:val="single" w:sz="8" w:space="0" w:color="00A68F" w:themeColor="accent5"/>
          <w:insideH w:val="nil"/>
          <w:insideV w:val="single" w:sz="8" w:space="0" w:color="00A68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68F" w:themeColor="accent5"/>
          <w:left w:val="single" w:sz="8" w:space="0" w:color="00A68F" w:themeColor="accent5"/>
          <w:bottom w:val="single" w:sz="8" w:space="0" w:color="00A68F" w:themeColor="accent5"/>
          <w:right w:val="single" w:sz="8" w:space="0" w:color="00A68F" w:themeColor="accent5"/>
          <w:insideH w:val="nil"/>
          <w:insideV w:val="single" w:sz="8" w:space="0" w:color="00A68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68F" w:themeColor="accent5"/>
          <w:left w:val="single" w:sz="8" w:space="0" w:color="00A68F" w:themeColor="accent5"/>
          <w:bottom w:val="single" w:sz="8" w:space="0" w:color="00A68F" w:themeColor="accent5"/>
          <w:right w:val="single" w:sz="8" w:space="0" w:color="00A68F" w:themeColor="accent5"/>
        </w:tcBorders>
      </w:tcPr>
    </w:tblStylePr>
    <w:tblStylePr w:type="band1Vert">
      <w:tblPr/>
      <w:tcPr>
        <w:tcBorders>
          <w:top w:val="single" w:sz="8" w:space="0" w:color="00A68F" w:themeColor="accent5"/>
          <w:left w:val="single" w:sz="8" w:space="0" w:color="00A68F" w:themeColor="accent5"/>
          <w:bottom w:val="single" w:sz="8" w:space="0" w:color="00A68F" w:themeColor="accent5"/>
          <w:right w:val="single" w:sz="8" w:space="0" w:color="00A68F" w:themeColor="accent5"/>
        </w:tcBorders>
        <w:shd w:val="clear" w:color="auto" w:fill="AAFFF3" w:themeFill="accent5" w:themeFillTint="3F"/>
      </w:tcPr>
    </w:tblStylePr>
    <w:tblStylePr w:type="band1Horz">
      <w:tblPr/>
      <w:tcPr>
        <w:tcBorders>
          <w:top w:val="single" w:sz="8" w:space="0" w:color="00A68F" w:themeColor="accent5"/>
          <w:left w:val="single" w:sz="8" w:space="0" w:color="00A68F" w:themeColor="accent5"/>
          <w:bottom w:val="single" w:sz="8" w:space="0" w:color="00A68F" w:themeColor="accent5"/>
          <w:right w:val="single" w:sz="8" w:space="0" w:color="00A68F" w:themeColor="accent5"/>
          <w:insideV w:val="single" w:sz="8" w:space="0" w:color="00A68F" w:themeColor="accent5"/>
        </w:tcBorders>
        <w:shd w:val="clear" w:color="auto" w:fill="AAFFF3" w:themeFill="accent5" w:themeFillTint="3F"/>
      </w:tcPr>
    </w:tblStylePr>
    <w:tblStylePr w:type="band2Horz">
      <w:tblPr/>
      <w:tcPr>
        <w:tcBorders>
          <w:top w:val="single" w:sz="8" w:space="0" w:color="00A68F" w:themeColor="accent5"/>
          <w:left w:val="single" w:sz="8" w:space="0" w:color="00A68F" w:themeColor="accent5"/>
          <w:bottom w:val="single" w:sz="8" w:space="0" w:color="00A68F" w:themeColor="accent5"/>
          <w:right w:val="single" w:sz="8" w:space="0" w:color="00A68F" w:themeColor="accent5"/>
          <w:insideV w:val="single" w:sz="8" w:space="0" w:color="00A68F" w:themeColor="accent5"/>
        </w:tcBorders>
      </w:tcPr>
    </w:tblStylePr>
  </w:style>
  <w:style w:type="table" w:styleId="LightGrid-Accent6">
    <w:name w:val="Light Grid Accent 6"/>
    <w:basedOn w:val="TableNormal"/>
    <w:uiPriority w:val="98"/>
    <w:rsid w:val="00BF744B"/>
    <w:tblPr>
      <w:tblStyleRowBandSize w:val="1"/>
      <w:tblStyleColBandSize w:val="1"/>
      <w:tblBorders>
        <w:top w:val="single" w:sz="8" w:space="0" w:color="38B24A" w:themeColor="accent6"/>
        <w:left w:val="single" w:sz="8" w:space="0" w:color="38B24A" w:themeColor="accent6"/>
        <w:bottom w:val="single" w:sz="8" w:space="0" w:color="38B24A" w:themeColor="accent6"/>
        <w:right w:val="single" w:sz="8" w:space="0" w:color="38B24A" w:themeColor="accent6"/>
        <w:insideH w:val="single" w:sz="8" w:space="0" w:color="38B24A" w:themeColor="accent6"/>
        <w:insideV w:val="single" w:sz="8" w:space="0" w:color="38B24A"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38B24A" w:themeColor="accent6"/>
          <w:left w:val="single" w:sz="8" w:space="0" w:color="38B24A" w:themeColor="accent6"/>
          <w:bottom w:val="single" w:sz="18" w:space="0" w:color="38B24A" w:themeColor="accent6"/>
          <w:right w:val="single" w:sz="8" w:space="0" w:color="38B24A" w:themeColor="accent6"/>
          <w:insideH w:val="nil"/>
          <w:insideV w:val="single" w:sz="8" w:space="0" w:color="38B24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B24A" w:themeColor="accent6"/>
          <w:left w:val="single" w:sz="8" w:space="0" w:color="38B24A" w:themeColor="accent6"/>
          <w:bottom w:val="single" w:sz="8" w:space="0" w:color="38B24A" w:themeColor="accent6"/>
          <w:right w:val="single" w:sz="8" w:space="0" w:color="38B24A" w:themeColor="accent6"/>
          <w:insideH w:val="nil"/>
          <w:insideV w:val="single" w:sz="8" w:space="0" w:color="38B24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B24A" w:themeColor="accent6"/>
          <w:left w:val="single" w:sz="8" w:space="0" w:color="38B24A" w:themeColor="accent6"/>
          <w:bottom w:val="single" w:sz="8" w:space="0" w:color="38B24A" w:themeColor="accent6"/>
          <w:right w:val="single" w:sz="8" w:space="0" w:color="38B24A" w:themeColor="accent6"/>
        </w:tcBorders>
      </w:tcPr>
    </w:tblStylePr>
    <w:tblStylePr w:type="band1Vert">
      <w:tblPr/>
      <w:tcPr>
        <w:tcBorders>
          <w:top w:val="single" w:sz="8" w:space="0" w:color="38B24A" w:themeColor="accent6"/>
          <w:left w:val="single" w:sz="8" w:space="0" w:color="38B24A" w:themeColor="accent6"/>
          <w:bottom w:val="single" w:sz="8" w:space="0" w:color="38B24A" w:themeColor="accent6"/>
          <w:right w:val="single" w:sz="8" w:space="0" w:color="38B24A" w:themeColor="accent6"/>
        </w:tcBorders>
        <w:shd w:val="clear" w:color="auto" w:fill="CBEED0" w:themeFill="accent6" w:themeFillTint="3F"/>
      </w:tcPr>
    </w:tblStylePr>
    <w:tblStylePr w:type="band1Horz">
      <w:tblPr/>
      <w:tcPr>
        <w:tcBorders>
          <w:top w:val="single" w:sz="8" w:space="0" w:color="38B24A" w:themeColor="accent6"/>
          <w:left w:val="single" w:sz="8" w:space="0" w:color="38B24A" w:themeColor="accent6"/>
          <w:bottom w:val="single" w:sz="8" w:space="0" w:color="38B24A" w:themeColor="accent6"/>
          <w:right w:val="single" w:sz="8" w:space="0" w:color="38B24A" w:themeColor="accent6"/>
          <w:insideV w:val="single" w:sz="8" w:space="0" w:color="38B24A" w:themeColor="accent6"/>
        </w:tcBorders>
        <w:shd w:val="clear" w:color="auto" w:fill="CBEED0" w:themeFill="accent6" w:themeFillTint="3F"/>
      </w:tcPr>
    </w:tblStylePr>
    <w:tblStylePr w:type="band2Horz">
      <w:tblPr/>
      <w:tcPr>
        <w:tcBorders>
          <w:top w:val="single" w:sz="8" w:space="0" w:color="38B24A" w:themeColor="accent6"/>
          <w:left w:val="single" w:sz="8" w:space="0" w:color="38B24A" w:themeColor="accent6"/>
          <w:bottom w:val="single" w:sz="8" w:space="0" w:color="38B24A" w:themeColor="accent6"/>
          <w:right w:val="single" w:sz="8" w:space="0" w:color="38B24A" w:themeColor="accent6"/>
          <w:insideV w:val="single" w:sz="8" w:space="0" w:color="38B24A" w:themeColor="accent6"/>
        </w:tcBorders>
      </w:tcPr>
    </w:tblStylePr>
  </w:style>
  <w:style w:type="table" w:styleId="LightList">
    <w:name w:val="Light List"/>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C3B6C" w:themeFill="accent1"/>
      </w:tcPr>
    </w:tblStylePr>
    <w:tblStylePr w:type="lastRow">
      <w:pPr>
        <w:spacing w:before="0" w:after="0" w:line="240" w:lineRule="auto"/>
      </w:pPr>
      <w:rPr>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tcBorders>
      </w:tcPr>
    </w:tblStylePr>
    <w:tblStylePr w:type="firstCol">
      <w:rPr>
        <w:b/>
        <w:bCs/>
      </w:rPr>
    </w:tblStylePr>
    <w:tblStylePr w:type="lastCol">
      <w:rPr>
        <w:b/>
        <w:bCs/>
      </w:r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style>
  <w:style w:type="table" w:styleId="LightList-Accent2">
    <w:name w:val="Light List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98"/>
    <w:rsid w:val="00BF744B"/>
    <w:tblPr>
      <w:tblStyleRowBandSize w:val="1"/>
      <w:tblStyleColBandSize w:val="1"/>
      <w:tblBorders>
        <w:top w:val="single" w:sz="8" w:space="0" w:color="215EAC" w:themeColor="accent3"/>
        <w:left w:val="single" w:sz="8" w:space="0" w:color="215EAC" w:themeColor="accent3"/>
        <w:bottom w:val="single" w:sz="8" w:space="0" w:color="215EAC" w:themeColor="accent3"/>
        <w:right w:val="single" w:sz="8" w:space="0" w:color="215EA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215EAC" w:themeFill="accent3"/>
      </w:tcPr>
    </w:tblStylePr>
    <w:tblStylePr w:type="lastRow">
      <w:pPr>
        <w:spacing w:before="0" w:after="0" w:line="240" w:lineRule="auto"/>
      </w:pPr>
      <w:rPr>
        <w:b/>
        <w:bCs/>
      </w:rPr>
      <w:tblPr/>
      <w:tcPr>
        <w:tcBorders>
          <w:top w:val="double" w:sz="6" w:space="0" w:color="215EAC" w:themeColor="accent3"/>
          <w:left w:val="single" w:sz="8" w:space="0" w:color="215EAC" w:themeColor="accent3"/>
          <w:bottom w:val="single" w:sz="8" w:space="0" w:color="215EAC" w:themeColor="accent3"/>
          <w:right w:val="single" w:sz="8" w:space="0" w:color="215EAC" w:themeColor="accent3"/>
        </w:tcBorders>
      </w:tcPr>
    </w:tblStylePr>
    <w:tblStylePr w:type="firstCol">
      <w:rPr>
        <w:b/>
        <w:bCs/>
      </w:rPr>
    </w:tblStylePr>
    <w:tblStylePr w:type="lastCol">
      <w:rPr>
        <w:b/>
        <w:bCs/>
      </w:rPr>
    </w:tblStylePr>
    <w:tblStylePr w:type="band1Vert">
      <w:tblPr/>
      <w:tcPr>
        <w:tcBorders>
          <w:top w:val="single" w:sz="8" w:space="0" w:color="215EAC" w:themeColor="accent3"/>
          <w:left w:val="single" w:sz="8" w:space="0" w:color="215EAC" w:themeColor="accent3"/>
          <w:bottom w:val="single" w:sz="8" w:space="0" w:color="215EAC" w:themeColor="accent3"/>
          <w:right w:val="single" w:sz="8" w:space="0" w:color="215EAC" w:themeColor="accent3"/>
        </w:tcBorders>
      </w:tcPr>
    </w:tblStylePr>
    <w:tblStylePr w:type="band1Horz">
      <w:tblPr/>
      <w:tcPr>
        <w:tcBorders>
          <w:top w:val="single" w:sz="8" w:space="0" w:color="215EAC" w:themeColor="accent3"/>
          <w:left w:val="single" w:sz="8" w:space="0" w:color="215EAC" w:themeColor="accent3"/>
          <w:bottom w:val="single" w:sz="8" w:space="0" w:color="215EAC" w:themeColor="accent3"/>
          <w:right w:val="single" w:sz="8" w:space="0" w:color="215EAC" w:themeColor="accent3"/>
        </w:tcBorders>
      </w:tcPr>
    </w:tblStylePr>
  </w:style>
  <w:style w:type="table" w:styleId="LightList-Accent4">
    <w:name w:val="Light List Accent 4"/>
    <w:basedOn w:val="TableNormal"/>
    <w:uiPriority w:val="98"/>
    <w:rsid w:val="00BF744B"/>
    <w:tblPr>
      <w:tblStyleRowBandSize w:val="1"/>
      <w:tblStyleColBandSize w:val="1"/>
      <w:tblBorders>
        <w:top w:val="single" w:sz="8" w:space="0" w:color="8AA3BA" w:themeColor="accent4"/>
        <w:left w:val="single" w:sz="8" w:space="0" w:color="8AA3BA" w:themeColor="accent4"/>
        <w:bottom w:val="single" w:sz="8" w:space="0" w:color="8AA3BA" w:themeColor="accent4"/>
        <w:right w:val="single" w:sz="8" w:space="0" w:color="8AA3BA"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AA3BA" w:themeFill="accent4"/>
      </w:tcPr>
    </w:tblStylePr>
    <w:tblStylePr w:type="lastRow">
      <w:pPr>
        <w:spacing w:before="0" w:after="0" w:line="240" w:lineRule="auto"/>
      </w:pPr>
      <w:rPr>
        <w:b/>
        <w:bCs/>
      </w:rPr>
      <w:tblPr/>
      <w:tcPr>
        <w:tcBorders>
          <w:top w:val="double" w:sz="6" w:space="0" w:color="8AA3BA" w:themeColor="accent4"/>
          <w:left w:val="single" w:sz="8" w:space="0" w:color="8AA3BA" w:themeColor="accent4"/>
          <w:bottom w:val="single" w:sz="8" w:space="0" w:color="8AA3BA" w:themeColor="accent4"/>
          <w:right w:val="single" w:sz="8" w:space="0" w:color="8AA3BA" w:themeColor="accent4"/>
        </w:tcBorders>
      </w:tcPr>
    </w:tblStylePr>
    <w:tblStylePr w:type="firstCol">
      <w:rPr>
        <w:b/>
        <w:bCs/>
      </w:rPr>
    </w:tblStylePr>
    <w:tblStylePr w:type="lastCol">
      <w:rPr>
        <w:b/>
        <w:bCs/>
      </w:rPr>
    </w:tblStylePr>
    <w:tblStylePr w:type="band1Vert">
      <w:tblPr/>
      <w:tcPr>
        <w:tcBorders>
          <w:top w:val="single" w:sz="8" w:space="0" w:color="8AA3BA" w:themeColor="accent4"/>
          <w:left w:val="single" w:sz="8" w:space="0" w:color="8AA3BA" w:themeColor="accent4"/>
          <w:bottom w:val="single" w:sz="8" w:space="0" w:color="8AA3BA" w:themeColor="accent4"/>
          <w:right w:val="single" w:sz="8" w:space="0" w:color="8AA3BA" w:themeColor="accent4"/>
        </w:tcBorders>
      </w:tcPr>
    </w:tblStylePr>
    <w:tblStylePr w:type="band1Horz">
      <w:tblPr/>
      <w:tcPr>
        <w:tcBorders>
          <w:top w:val="single" w:sz="8" w:space="0" w:color="8AA3BA" w:themeColor="accent4"/>
          <w:left w:val="single" w:sz="8" w:space="0" w:color="8AA3BA" w:themeColor="accent4"/>
          <w:bottom w:val="single" w:sz="8" w:space="0" w:color="8AA3BA" w:themeColor="accent4"/>
          <w:right w:val="single" w:sz="8" w:space="0" w:color="8AA3BA" w:themeColor="accent4"/>
        </w:tcBorders>
      </w:tcPr>
    </w:tblStylePr>
  </w:style>
  <w:style w:type="table" w:styleId="LightList-Accent5">
    <w:name w:val="Light List Accent 5"/>
    <w:basedOn w:val="TableNormal"/>
    <w:uiPriority w:val="98"/>
    <w:rsid w:val="00BF744B"/>
    <w:tblPr>
      <w:tblStyleRowBandSize w:val="1"/>
      <w:tblStyleColBandSize w:val="1"/>
      <w:tblBorders>
        <w:top w:val="single" w:sz="8" w:space="0" w:color="00A68F" w:themeColor="accent5"/>
        <w:left w:val="single" w:sz="8" w:space="0" w:color="00A68F" w:themeColor="accent5"/>
        <w:bottom w:val="single" w:sz="8" w:space="0" w:color="00A68F" w:themeColor="accent5"/>
        <w:right w:val="single" w:sz="8" w:space="0" w:color="00A68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A68F" w:themeFill="accent5"/>
      </w:tcPr>
    </w:tblStylePr>
    <w:tblStylePr w:type="lastRow">
      <w:pPr>
        <w:spacing w:before="0" w:after="0" w:line="240" w:lineRule="auto"/>
      </w:pPr>
      <w:rPr>
        <w:b/>
        <w:bCs/>
      </w:rPr>
      <w:tblPr/>
      <w:tcPr>
        <w:tcBorders>
          <w:top w:val="double" w:sz="6" w:space="0" w:color="00A68F" w:themeColor="accent5"/>
          <w:left w:val="single" w:sz="8" w:space="0" w:color="00A68F" w:themeColor="accent5"/>
          <w:bottom w:val="single" w:sz="8" w:space="0" w:color="00A68F" w:themeColor="accent5"/>
          <w:right w:val="single" w:sz="8" w:space="0" w:color="00A68F" w:themeColor="accent5"/>
        </w:tcBorders>
      </w:tcPr>
    </w:tblStylePr>
    <w:tblStylePr w:type="firstCol">
      <w:rPr>
        <w:b/>
        <w:bCs/>
      </w:rPr>
    </w:tblStylePr>
    <w:tblStylePr w:type="lastCol">
      <w:rPr>
        <w:b/>
        <w:bCs/>
      </w:rPr>
    </w:tblStylePr>
    <w:tblStylePr w:type="band1Vert">
      <w:tblPr/>
      <w:tcPr>
        <w:tcBorders>
          <w:top w:val="single" w:sz="8" w:space="0" w:color="00A68F" w:themeColor="accent5"/>
          <w:left w:val="single" w:sz="8" w:space="0" w:color="00A68F" w:themeColor="accent5"/>
          <w:bottom w:val="single" w:sz="8" w:space="0" w:color="00A68F" w:themeColor="accent5"/>
          <w:right w:val="single" w:sz="8" w:space="0" w:color="00A68F" w:themeColor="accent5"/>
        </w:tcBorders>
      </w:tcPr>
    </w:tblStylePr>
    <w:tblStylePr w:type="band1Horz">
      <w:tblPr/>
      <w:tcPr>
        <w:tcBorders>
          <w:top w:val="single" w:sz="8" w:space="0" w:color="00A68F" w:themeColor="accent5"/>
          <w:left w:val="single" w:sz="8" w:space="0" w:color="00A68F" w:themeColor="accent5"/>
          <w:bottom w:val="single" w:sz="8" w:space="0" w:color="00A68F" w:themeColor="accent5"/>
          <w:right w:val="single" w:sz="8" w:space="0" w:color="00A68F" w:themeColor="accent5"/>
        </w:tcBorders>
      </w:tcPr>
    </w:tblStylePr>
  </w:style>
  <w:style w:type="table" w:styleId="LightList-Accent6">
    <w:name w:val="Light List Accent 6"/>
    <w:basedOn w:val="TableNormal"/>
    <w:uiPriority w:val="98"/>
    <w:rsid w:val="00BF744B"/>
    <w:tblPr>
      <w:tblStyleRowBandSize w:val="1"/>
      <w:tblStyleColBandSize w:val="1"/>
      <w:tblBorders>
        <w:top w:val="single" w:sz="8" w:space="0" w:color="38B24A" w:themeColor="accent6"/>
        <w:left w:val="single" w:sz="8" w:space="0" w:color="38B24A" w:themeColor="accent6"/>
        <w:bottom w:val="single" w:sz="8" w:space="0" w:color="38B24A" w:themeColor="accent6"/>
        <w:right w:val="single" w:sz="8" w:space="0" w:color="38B24A"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38B24A" w:themeFill="accent6"/>
      </w:tcPr>
    </w:tblStylePr>
    <w:tblStylePr w:type="lastRow">
      <w:pPr>
        <w:spacing w:before="0" w:after="0" w:line="240" w:lineRule="auto"/>
      </w:pPr>
      <w:rPr>
        <w:b/>
        <w:bCs/>
      </w:rPr>
      <w:tblPr/>
      <w:tcPr>
        <w:tcBorders>
          <w:top w:val="double" w:sz="6" w:space="0" w:color="38B24A" w:themeColor="accent6"/>
          <w:left w:val="single" w:sz="8" w:space="0" w:color="38B24A" w:themeColor="accent6"/>
          <w:bottom w:val="single" w:sz="8" w:space="0" w:color="38B24A" w:themeColor="accent6"/>
          <w:right w:val="single" w:sz="8" w:space="0" w:color="38B24A" w:themeColor="accent6"/>
        </w:tcBorders>
      </w:tcPr>
    </w:tblStylePr>
    <w:tblStylePr w:type="firstCol">
      <w:rPr>
        <w:b/>
        <w:bCs/>
      </w:rPr>
    </w:tblStylePr>
    <w:tblStylePr w:type="lastCol">
      <w:rPr>
        <w:b/>
        <w:bCs/>
      </w:rPr>
    </w:tblStylePr>
    <w:tblStylePr w:type="band1Vert">
      <w:tblPr/>
      <w:tcPr>
        <w:tcBorders>
          <w:top w:val="single" w:sz="8" w:space="0" w:color="38B24A" w:themeColor="accent6"/>
          <w:left w:val="single" w:sz="8" w:space="0" w:color="38B24A" w:themeColor="accent6"/>
          <w:bottom w:val="single" w:sz="8" w:space="0" w:color="38B24A" w:themeColor="accent6"/>
          <w:right w:val="single" w:sz="8" w:space="0" w:color="38B24A" w:themeColor="accent6"/>
        </w:tcBorders>
      </w:tcPr>
    </w:tblStylePr>
    <w:tblStylePr w:type="band1Horz">
      <w:tblPr/>
      <w:tcPr>
        <w:tcBorders>
          <w:top w:val="single" w:sz="8" w:space="0" w:color="38B24A" w:themeColor="accent6"/>
          <w:left w:val="single" w:sz="8" w:space="0" w:color="38B24A" w:themeColor="accent6"/>
          <w:bottom w:val="single" w:sz="8" w:space="0" w:color="38B24A" w:themeColor="accent6"/>
          <w:right w:val="single" w:sz="8" w:space="0" w:color="38B24A" w:themeColor="accent6"/>
        </w:tcBorders>
      </w:tcPr>
    </w:tblStylePr>
  </w:style>
  <w:style w:type="table" w:styleId="LightShading">
    <w:name w:val="Light Shading"/>
    <w:basedOn w:val="TableNormal"/>
    <w:uiPriority w:val="98"/>
    <w:rsid w:val="00BF744B"/>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F744B"/>
    <w:rPr>
      <w:color w:val="092B50" w:themeColor="accent1" w:themeShade="BF"/>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C3B6C" w:themeColor="accent1"/>
          <w:left w:val="nil"/>
          <w:bottom w:val="single" w:sz="8" w:space="0" w:color="0C3B6C" w:themeColor="accent1"/>
          <w:right w:val="nil"/>
          <w:insideH w:val="nil"/>
          <w:insideV w:val="nil"/>
        </w:tcBorders>
      </w:tcPr>
    </w:tblStylePr>
    <w:tblStylePr w:type="lastRow">
      <w:pPr>
        <w:spacing w:before="0" w:after="0" w:line="240" w:lineRule="auto"/>
      </w:pPr>
      <w:rPr>
        <w:b/>
        <w:bCs/>
      </w:rPr>
      <w:tblPr/>
      <w:tcPr>
        <w:tcBorders>
          <w:top w:val="single" w:sz="8" w:space="0" w:color="0C3B6C" w:themeColor="accent1"/>
          <w:left w:val="nil"/>
          <w:bottom w:val="single" w:sz="8" w:space="0" w:color="0C3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left w:val="nil"/>
          <w:right w:val="nil"/>
          <w:insideH w:val="nil"/>
          <w:insideV w:val="nil"/>
        </w:tcBorders>
        <w:shd w:val="clear" w:color="auto" w:fill="A8CDF5" w:themeFill="accent1" w:themeFillTint="3F"/>
      </w:tcPr>
    </w:tblStylePr>
  </w:style>
  <w:style w:type="table" w:styleId="LightShading-Accent2">
    <w:name w:val="Light Shading Accent 2"/>
    <w:basedOn w:val="TableNormal"/>
    <w:uiPriority w:val="98"/>
    <w:rsid w:val="00BF744B"/>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98"/>
    <w:rsid w:val="00BF744B"/>
    <w:rPr>
      <w:color w:val="184580" w:themeColor="accent3" w:themeShade="BF"/>
    </w:rPr>
    <w:tblPr>
      <w:tblStyleRowBandSize w:val="1"/>
      <w:tblStyleColBandSize w:val="1"/>
      <w:tblBorders>
        <w:top w:val="single" w:sz="8" w:space="0" w:color="215EAC" w:themeColor="accent3"/>
        <w:bottom w:val="single" w:sz="8" w:space="0" w:color="215EAC"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215EAC" w:themeColor="accent3"/>
          <w:left w:val="nil"/>
          <w:bottom w:val="single" w:sz="8" w:space="0" w:color="215EAC" w:themeColor="accent3"/>
          <w:right w:val="nil"/>
          <w:insideH w:val="nil"/>
          <w:insideV w:val="nil"/>
        </w:tcBorders>
      </w:tcPr>
    </w:tblStylePr>
    <w:tblStylePr w:type="lastRow">
      <w:pPr>
        <w:spacing w:before="0" w:after="0" w:line="240" w:lineRule="auto"/>
      </w:pPr>
      <w:rPr>
        <w:b/>
        <w:bCs/>
      </w:rPr>
      <w:tblPr/>
      <w:tcPr>
        <w:tcBorders>
          <w:top w:val="single" w:sz="8" w:space="0" w:color="215EAC" w:themeColor="accent3"/>
          <w:left w:val="nil"/>
          <w:bottom w:val="single" w:sz="8" w:space="0" w:color="215EA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5F2" w:themeFill="accent3" w:themeFillTint="3F"/>
      </w:tcPr>
    </w:tblStylePr>
    <w:tblStylePr w:type="band1Horz">
      <w:tblPr/>
      <w:tcPr>
        <w:tcBorders>
          <w:left w:val="nil"/>
          <w:right w:val="nil"/>
          <w:insideH w:val="nil"/>
          <w:insideV w:val="nil"/>
        </w:tcBorders>
        <w:shd w:val="clear" w:color="auto" w:fill="BFD5F2" w:themeFill="accent3" w:themeFillTint="3F"/>
      </w:tcPr>
    </w:tblStylePr>
  </w:style>
  <w:style w:type="table" w:styleId="LightShading-Accent4">
    <w:name w:val="Light Shading Accent 4"/>
    <w:basedOn w:val="TableNormal"/>
    <w:uiPriority w:val="98"/>
    <w:rsid w:val="00BF744B"/>
    <w:rPr>
      <w:color w:val="5A7A98" w:themeColor="accent4" w:themeShade="BF"/>
    </w:rPr>
    <w:tblPr>
      <w:tblStyleRowBandSize w:val="1"/>
      <w:tblStyleColBandSize w:val="1"/>
      <w:tblBorders>
        <w:top w:val="single" w:sz="8" w:space="0" w:color="8AA3BA" w:themeColor="accent4"/>
        <w:bottom w:val="single" w:sz="8" w:space="0" w:color="8AA3BA"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AA3BA" w:themeColor="accent4"/>
          <w:left w:val="nil"/>
          <w:bottom w:val="single" w:sz="8" w:space="0" w:color="8AA3BA" w:themeColor="accent4"/>
          <w:right w:val="nil"/>
          <w:insideH w:val="nil"/>
          <w:insideV w:val="nil"/>
        </w:tcBorders>
      </w:tcPr>
    </w:tblStylePr>
    <w:tblStylePr w:type="lastRow">
      <w:pPr>
        <w:spacing w:before="0" w:after="0" w:line="240" w:lineRule="auto"/>
      </w:pPr>
      <w:rPr>
        <w:b/>
        <w:bCs/>
      </w:rPr>
      <w:tblPr/>
      <w:tcPr>
        <w:tcBorders>
          <w:top w:val="single" w:sz="8" w:space="0" w:color="8AA3BA" w:themeColor="accent4"/>
          <w:left w:val="nil"/>
          <w:bottom w:val="single" w:sz="8" w:space="0" w:color="8AA3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8EE" w:themeFill="accent4" w:themeFillTint="3F"/>
      </w:tcPr>
    </w:tblStylePr>
    <w:tblStylePr w:type="band1Horz">
      <w:tblPr/>
      <w:tcPr>
        <w:tcBorders>
          <w:left w:val="nil"/>
          <w:right w:val="nil"/>
          <w:insideH w:val="nil"/>
          <w:insideV w:val="nil"/>
        </w:tcBorders>
        <w:shd w:val="clear" w:color="auto" w:fill="E2E8EE" w:themeFill="accent4" w:themeFillTint="3F"/>
      </w:tcPr>
    </w:tblStylePr>
  </w:style>
  <w:style w:type="table" w:styleId="LightShading-Accent5">
    <w:name w:val="Light Shading Accent 5"/>
    <w:basedOn w:val="TableNormal"/>
    <w:uiPriority w:val="98"/>
    <w:rsid w:val="00BF744B"/>
    <w:rPr>
      <w:color w:val="007C6A" w:themeColor="accent5" w:themeShade="BF"/>
    </w:rPr>
    <w:tblPr>
      <w:tblStyleRowBandSize w:val="1"/>
      <w:tblStyleColBandSize w:val="1"/>
      <w:tblBorders>
        <w:top w:val="single" w:sz="8" w:space="0" w:color="00A68F" w:themeColor="accent5"/>
        <w:bottom w:val="single" w:sz="8" w:space="0" w:color="00A68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A68F" w:themeColor="accent5"/>
          <w:left w:val="nil"/>
          <w:bottom w:val="single" w:sz="8" w:space="0" w:color="00A68F" w:themeColor="accent5"/>
          <w:right w:val="nil"/>
          <w:insideH w:val="nil"/>
          <w:insideV w:val="nil"/>
        </w:tcBorders>
      </w:tcPr>
    </w:tblStylePr>
    <w:tblStylePr w:type="lastRow">
      <w:pPr>
        <w:spacing w:before="0" w:after="0" w:line="240" w:lineRule="auto"/>
      </w:pPr>
      <w:rPr>
        <w:b/>
        <w:bCs/>
      </w:rPr>
      <w:tblPr/>
      <w:tcPr>
        <w:tcBorders>
          <w:top w:val="single" w:sz="8" w:space="0" w:color="00A68F" w:themeColor="accent5"/>
          <w:left w:val="nil"/>
          <w:bottom w:val="single" w:sz="8" w:space="0" w:color="00A6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3" w:themeFill="accent5" w:themeFillTint="3F"/>
      </w:tcPr>
    </w:tblStylePr>
    <w:tblStylePr w:type="band1Horz">
      <w:tblPr/>
      <w:tcPr>
        <w:tcBorders>
          <w:left w:val="nil"/>
          <w:right w:val="nil"/>
          <w:insideH w:val="nil"/>
          <w:insideV w:val="nil"/>
        </w:tcBorders>
        <w:shd w:val="clear" w:color="auto" w:fill="AAFFF3" w:themeFill="accent5" w:themeFillTint="3F"/>
      </w:tcPr>
    </w:tblStylePr>
  </w:style>
  <w:style w:type="table" w:styleId="LightShading-Accent6">
    <w:name w:val="Light Shading Accent 6"/>
    <w:basedOn w:val="TableNormal"/>
    <w:uiPriority w:val="98"/>
    <w:rsid w:val="00BF744B"/>
    <w:rPr>
      <w:color w:val="2A8537" w:themeColor="accent6" w:themeShade="BF"/>
    </w:rPr>
    <w:tblPr>
      <w:tblStyleRowBandSize w:val="1"/>
      <w:tblStyleColBandSize w:val="1"/>
      <w:tblBorders>
        <w:top w:val="single" w:sz="8" w:space="0" w:color="38B24A" w:themeColor="accent6"/>
        <w:bottom w:val="single" w:sz="8" w:space="0" w:color="38B24A"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38B24A" w:themeColor="accent6"/>
          <w:left w:val="nil"/>
          <w:bottom w:val="single" w:sz="8" w:space="0" w:color="38B24A" w:themeColor="accent6"/>
          <w:right w:val="nil"/>
          <w:insideH w:val="nil"/>
          <w:insideV w:val="nil"/>
        </w:tcBorders>
      </w:tcPr>
    </w:tblStylePr>
    <w:tblStylePr w:type="lastRow">
      <w:pPr>
        <w:spacing w:before="0" w:after="0" w:line="240" w:lineRule="auto"/>
      </w:pPr>
      <w:rPr>
        <w:b/>
        <w:bCs/>
      </w:rPr>
      <w:tblPr/>
      <w:tcPr>
        <w:tcBorders>
          <w:top w:val="single" w:sz="8" w:space="0" w:color="38B24A" w:themeColor="accent6"/>
          <w:left w:val="nil"/>
          <w:bottom w:val="single" w:sz="8" w:space="0" w:color="38B24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D0" w:themeFill="accent6" w:themeFillTint="3F"/>
      </w:tcPr>
    </w:tblStylePr>
    <w:tblStylePr w:type="band1Horz">
      <w:tblPr/>
      <w:tcPr>
        <w:tcBorders>
          <w:left w:val="nil"/>
          <w:right w:val="nil"/>
          <w:insideH w:val="nil"/>
          <w:insideV w:val="nil"/>
        </w:tcBorders>
        <w:shd w:val="clear" w:color="auto" w:fill="CBEED0" w:themeFill="accent6" w:themeFillTint="3F"/>
      </w:tcPr>
    </w:tblStylePr>
  </w:style>
  <w:style w:type="character" w:styleId="LineNumber">
    <w:name w:val="line number"/>
    <w:basedOn w:val="DefaultParagraphFont"/>
    <w:uiPriority w:val="97"/>
    <w:semiHidden/>
    <w:rsid w:val="00BF744B"/>
    <w:rPr>
      <w:rFonts w:asciiTheme="minorHAnsi" w:hAnsiTheme="minorHAnsi"/>
    </w:rPr>
  </w:style>
  <w:style w:type="paragraph" w:styleId="List">
    <w:name w:val="List"/>
    <w:basedOn w:val="Normal"/>
    <w:uiPriority w:val="4"/>
    <w:semiHidden/>
    <w:rsid w:val="00BF744B"/>
    <w:pPr>
      <w:ind w:left="283" w:hanging="283"/>
      <w:contextualSpacing/>
    </w:pPr>
  </w:style>
  <w:style w:type="paragraph" w:styleId="List2">
    <w:name w:val="List 2"/>
    <w:basedOn w:val="Normal"/>
    <w:uiPriority w:val="4"/>
    <w:semiHidden/>
    <w:rsid w:val="00BF744B"/>
    <w:pPr>
      <w:ind w:left="566" w:hanging="283"/>
      <w:contextualSpacing/>
    </w:pPr>
  </w:style>
  <w:style w:type="paragraph" w:styleId="List3">
    <w:name w:val="List 3"/>
    <w:basedOn w:val="Normal"/>
    <w:uiPriority w:val="4"/>
    <w:semiHidden/>
    <w:rsid w:val="00BF744B"/>
    <w:pPr>
      <w:ind w:left="849" w:hanging="283"/>
      <w:contextualSpacing/>
    </w:pPr>
  </w:style>
  <w:style w:type="paragraph" w:styleId="List4">
    <w:name w:val="List 4"/>
    <w:basedOn w:val="Normal"/>
    <w:uiPriority w:val="4"/>
    <w:semiHidden/>
    <w:rsid w:val="00BF744B"/>
    <w:pPr>
      <w:ind w:left="1132" w:hanging="283"/>
      <w:contextualSpacing/>
    </w:pPr>
  </w:style>
  <w:style w:type="paragraph" w:styleId="List5">
    <w:name w:val="List 5"/>
    <w:basedOn w:val="Normal"/>
    <w:uiPriority w:val="4"/>
    <w:semiHidden/>
    <w:rsid w:val="00BF744B"/>
    <w:pPr>
      <w:ind w:left="1415" w:hanging="283"/>
      <w:contextualSpacing/>
    </w:pPr>
  </w:style>
  <w:style w:type="paragraph" w:styleId="ListBullet2">
    <w:name w:val="List Bullet 2"/>
    <w:basedOn w:val="ListBullet"/>
    <w:uiPriority w:val="2"/>
    <w:qFormat/>
    <w:rsid w:val="00FD78F7"/>
    <w:pPr>
      <w:numPr>
        <w:numId w:val="19"/>
      </w:numPr>
      <w:ind w:left="1701" w:hanging="567"/>
    </w:pPr>
  </w:style>
  <w:style w:type="paragraph" w:styleId="ListBullet3">
    <w:name w:val="List Bullet 3"/>
    <w:basedOn w:val="ListBullet"/>
    <w:uiPriority w:val="2"/>
    <w:qFormat/>
    <w:rsid w:val="008C5DB1"/>
    <w:pPr>
      <w:numPr>
        <w:ilvl w:val="2"/>
      </w:numPr>
    </w:pPr>
  </w:style>
  <w:style w:type="paragraph" w:styleId="ListBullet4">
    <w:name w:val="List Bullet 4"/>
    <w:basedOn w:val="Normal"/>
    <w:uiPriority w:val="2"/>
    <w:semiHidden/>
    <w:rsid w:val="00BF744B"/>
    <w:pPr>
      <w:numPr>
        <w:numId w:val="1"/>
      </w:numPr>
      <w:contextualSpacing/>
    </w:pPr>
  </w:style>
  <w:style w:type="paragraph" w:styleId="ListBullet5">
    <w:name w:val="List Bullet 5"/>
    <w:basedOn w:val="Normal"/>
    <w:uiPriority w:val="2"/>
    <w:semiHidden/>
    <w:rsid w:val="00BF744B"/>
    <w:pPr>
      <w:numPr>
        <w:numId w:val="2"/>
      </w:numPr>
      <w:contextualSpacing/>
    </w:pPr>
  </w:style>
  <w:style w:type="paragraph" w:styleId="ListContinue">
    <w:name w:val="List Continue"/>
    <w:basedOn w:val="Normal"/>
    <w:uiPriority w:val="10"/>
    <w:semiHidden/>
    <w:rsid w:val="00BF744B"/>
    <w:pPr>
      <w:spacing w:after="120"/>
      <w:ind w:left="283"/>
      <w:contextualSpacing/>
    </w:pPr>
  </w:style>
  <w:style w:type="paragraph" w:styleId="ListContinue2">
    <w:name w:val="List Continue 2"/>
    <w:basedOn w:val="Normal"/>
    <w:uiPriority w:val="10"/>
    <w:semiHidden/>
    <w:rsid w:val="00BF744B"/>
    <w:pPr>
      <w:spacing w:after="120"/>
      <w:ind w:left="566"/>
      <w:contextualSpacing/>
    </w:pPr>
  </w:style>
  <w:style w:type="paragraph" w:styleId="ListContinue3">
    <w:name w:val="List Continue 3"/>
    <w:basedOn w:val="Normal"/>
    <w:uiPriority w:val="10"/>
    <w:semiHidden/>
    <w:rsid w:val="00BF744B"/>
    <w:pPr>
      <w:spacing w:after="120"/>
      <w:ind w:left="849"/>
      <w:contextualSpacing/>
    </w:pPr>
  </w:style>
  <w:style w:type="paragraph" w:styleId="ListContinue4">
    <w:name w:val="List Continue 4"/>
    <w:basedOn w:val="Normal"/>
    <w:uiPriority w:val="10"/>
    <w:semiHidden/>
    <w:rsid w:val="00BF744B"/>
    <w:pPr>
      <w:spacing w:after="120"/>
      <w:ind w:left="1132"/>
      <w:contextualSpacing/>
    </w:pPr>
  </w:style>
  <w:style w:type="paragraph" w:styleId="ListContinue5">
    <w:name w:val="List Continue 5"/>
    <w:basedOn w:val="Normal"/>
    <w:uiPriority w:val="10"/>
    <w:semiHidden/>
    <w:rsid w:val="00BF744B"/>
    <w:pPr>
      <w:spacing w:after="120"/>
      <w:ind w:left="1415"/>
      <w:contextualSpacing/>
    </w:pPr>
  </w:style>
  <w:style w:type="paragraph" w:customStyle="1" w:styleId="NumberedHeading3">
    <w:name w:val="Numbered Heading 3"/>
    <w:basedOn w:val="Heading3"/>
    <w:next w:val="Normal"/>
    <w:qFormat/>
    <w:rsid w:val="00EF7ADF"/>
    <w:pPr>
      <w:numPr>
        <w:ilvl w:val="2"/>
        <w:numId w:val="14"/>
      </w:numPr>
    </w:pPr>
  </w:style>
  <w:style w:type="paragraph" w:styleId="ListNumber2">
    <w:name w:val="List Number 2"/>
    <w:basedOn w:val="Normal"/>
    <w:uiPriority w:val="3"/>
    <w:qFormat/>
    <w:rsid w:val="00DD73BC"/>
    <w:pPr>
      <w:numPr>
        <w:ilvl w:val="1"/>
        <w:numId w:val="12"/>
      </w:numPr>
    </w:pPr>
  </w:style>
  <w:style w:type="paragraph" w:styleId="ListNumber3">
    <w:name w:val="List Number 3"/>
    <w:basedOn w:val="Normal"/>
    <w:uiPriority w:val="3"/>
    <w:qFormat/>
    <w:rsid w:val="00EF7ADF"/>
    <w:pPr>
      <w:numPr>
        <w:ilvl w:val="2"/>
        <w:numId w:val="12"/>
      </w:numPr>
      <w:ind w:left="1020"/>
    </w:pPr>
  </w:style>
  <w:style w:type="paragraph" w:styleId="ListNumber4">
    <w:name w:val="List Number 4"/>
    <w:basedOn w:val="Normal"/>
    <w:uiPriority w:val="3"/>
    <w:semiHidden/>
    <w:qFormat/>
    <w:rsid w:val="002160A1"/>
    <w:pPr>
      <w:numPr>
        <w:numId w:val="3"/>
      </w:numPr>
      <w:ind w:left="1208" w:hanging="357"/>
      <w:contextualSpacing/>
    </w:pPr>
    <w:rPr>
      <w:b/>
    </w:rPr>
  </w:style>
  <w:style w:type="paragraph" w:styleId="ListNumber5">
    <w:name w:val="List Number 5"/>
    <w:basedOn w:val="Normal"/>
    <w:uiPriority w:val="3"/>
    <w:semiHidden/>
    <w:rsid w:val="00BF744B"/>
    <w:pPr>
      <w:numPr>
        <w:numId w:val="4"/>
      </w:numPr>
      <w:contextualSpacing/>
    </w:pPr>
  </w:style>
  <w:style w:type="paragraph" w:styleId="ListParagraph">
    <w:name w:val="List Paragraph"/>
    <w:basedOn w:val="Normal"/>
    <w:uiPriority w:val="34"/>
    <w:qFormat/>
    <w:rsid w:val="00BF744B"/>
    <w:pPr>
      <w:ind w:left="720"/>
      <w:contextualSpacing/>
    </w:pPr>
  </w:style>
  <w:style w:type="paragraph" w:styleId="MacroText">
    <w:name w:val="macro"/>
    <w:link w:val="MacroTextChar"/>
    <w:uiPriority w:val="97"/>
    <w:semiHidden/>
    <w:rsid w:val="00BF744B"/>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Consolas"/>
    </w:rPr>
  </w:style>
  <w:style w:type="character" w:customStyle="1" w:styleId="MacroTextChar">
    <w:name w:val="Macro Text Char"/>
    <w:basedOn w:val="DefaultParagraphFont"/>
    <w:link w:val="MacroText"/>
    <w:rsid w:val="00BF744B"/>
    <w:rPr>
      <w:rFonts w:asciiTheme="minorHAnsi" w:hAnsiTheme="minorHAnsi" w:cs="Consolas"/>
    </w:rPr>
  </w:style>
  <w:style w:type="table" w:styleId="MediumGrid1">
    <w:name w:val="Medium Grid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insideV w:val="single" w:sz="8" w:space="0" w:color="156AC3" w:themeColor="accent1" w:themeTint="BF"/>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56AC3" w:themeColor="accent1" w:themeTint="BF"/>
        </w:tcBorders>
      </w:tcPr>
    </w:tblStylePr>
    <w:tblStylePr w:type="firstCol">
      <w:rPr>
        <w:b/>
        <w:bCs/>
      </w:rPr>
    </w:tblStylePr>
    <w:tblStylePr w:type="lastCol">
      <w:rPr>
        <w:b/>
        <w:bCs/>
      </w:r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MediumGrid1-Accent2">
    <w:name w:val="Medium Grid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98"/>
    <w:rsid w:val="00BF744B"/>
    <w:tblPr>
      <w:tblStyleRowBandSize w:val="1"/>
      <w:tblStyleColBandSize w:val="1"/>
      <w:tblBorders>
        <w:top w:val="single" w:sz="8" w:space="0" w:color="3F82DA" w:themeColor="accent3" w:themeTint="BF"/>
        <w:left w:val="single" w:sz="8" w:space="0" w:color="3F82DA" w:themeColor="accent3" w:themeTint="BF"/>
        <w:bottom w:val="single" w:sz="8" w:space="0" w:color="3F82DA" w:themeColor="accent3" w:themeTint="BF"/>
        <w:right w:val="single" w:sz="8" w:space="0" w:color="3F82DA" w:themeColor="accent3" w:themeTint="BF"/>
        <w:insideH w:val="single" w:sz="8" w:space="0" w:color="3F82DA" w:themeColor="accent3" w:themeTint="BF"/>
        <w:insideV w:val="single" w:sz="8" w:space="0" w:color="3F82DA" w:themeColor="accent3" w:themeTint="BF"/>
      </w:tblBorders>
    </w:tblPr>
    <w:tcPr>
      <w:shd w:val="clear" w:color="auto" w:fill="BFD5F2"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3F82DA" w:themeColor="accent3" w:themeTint="BF"/>
        </w:tcBorders>
      </w:tcPr>
    </w:tblStylePr>
    <w:tblStylePr w:type="firstCol">
      <w:rPr>
        <w:b/>
        <w:bCs/>
      </w:rPr>
    </w:tblStylePr>
    <w:tblStylePr w:type="lastCol">
      <w:rPr>
        <w:b/>
        <w:bCs/>
      </w:rPr>
    </w:tblStylePr>
    <w:tblStylePr w:type="band1Vert">
      <w:tblPr/>
      <w:tcPr>
        <w:shd w:val="clear" w:color="auto" w:fill="7FACE6" w:themeFill="accent3" w:themeFillTint="7F"/>
      </w:tcPr>
    </w:tblStylePr>
    <w:tblStylePr w:type="band1Horz">
      <w:tblPr/>
      <w:tcPr>
        <w:shd w:val="clear" w:color="auto" w:fill="7FACE6" w:themeFill="accent3" w:themeFillTint="7F"/>
      </w:tcPr>
    </w:tblStylePr>
  </w:style>
  <w:style w:type="table" w:styleId="MediumGrid1-Accent4">
    <w:name w:val="Medium Grid 1 Accent 4"/>
    <w:basedOn w:val="TableNormal"/>
    <w:uiPriority w:val="98"/>
    <w:rsid w:val="00BF744B"/>
    <w:tblPr>
      <w:tblStyleRowBandSize w:val="1"/>
      <w:tblStyleColBandSize w:val="1"/>
      <w:tblBorders>
        <w:top w:val="single" w:sz="8" w:space="0" w:color="A7B9CB" w:themeColor="accent4" w:themeTint="BF"/>
        <w:left w:val="single" w:sz="8" w:space="0" w:color="A7B9CB" w:themeColor="accent4" w:themeTint="BF"/>
        <w:bottom w:val="single" w:sz="8" w:space="0" w:color="A7B9CB" w:themeColor="accent4" w:themeTint="BF"/>
        <w:right w:val="single" w:sz="8" w:space="0" w:color="A7B9CB" w:themeColor="accent4" w:themeTint="BF"/>
        <w:insideH w:val="single" w:sz="8" w:space="0" w:color="A7B9CB" w:themeColor="accent4" w:themeTint="BF"/>
        <w:insideV w:val="single" w:sz="8" w:space="0" w:color="A7B9CB" w:themeColor="accent4" w:themeTint="BF"/>
      </w:tblBorders>
    </w:tblPr>
    <w:tcPr>
      <w:shd w:val="clear" w:color="auto" w:fill="E2E8EE"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7B9CB" w:themeColor="accent4" w:themeTint="BF"/>
        </w:tcBorders>
      </w:tcPr>
    </w:tblStylePr>
    <w:tblStylePr w:type="firstCol">
      <w:rPr>
        <w:b/>
        <w:bCs/>
      </w:rPr>
    </w:tblStylePr>
    <w:tblStylePr w:type="lastCol">
      <w:rPr>
        <w:b/>
        <w:bCs/>
      </w:rPr>
    </w:tblStylePr>
    <w:tblStylePr w:type="band1Vert">
      <w:tblPr/>
      <w:tcPr>
        <w:shd w:val="clear" w:color="auto" w:fill="C4D1DC" w:themeFill="accent4" w:themeFillTint="7F"/>
      </w:tcPr>
    </w:tblStylePr>
    <w:tblStylePr w:type="band1Horz">
      <w:tblPr/>
      <w:tcPr>
        <w:shd w:val="clear" w:color="auto" w:fill="C4D1DC" w:themeFill="accent4" w:themeFillTint="7F"/>
      </w:tcPr>
    </w:tblStylePr>
  </w:style>
  <w:style w:type="table" w:styleId="MediumGrid1-Accent5">
    <w:name w:val="Medium Grid 1 Accent 5"/>
    <w:basedOn w:val="TableNormal"/>
    <w:uiPriority w:val="98"/>
    <w:rsid w:val="00BF744B"/>
    <w:tblPr>
      <w:tblStyleRowBandSize w:val="1"/>
      <w:tblStyleColBandSize w:val="1"/>
      <w:tblBorders>
        <w:top w:val="single" w:sz="8" w:space="0" w:color="00FCD8" w:themeColor="accent5" w:themeTint="BF"/>
        <w:left w:val="single" w:sz="8" w:space="0" w:color="00FCD8" w:themeColor="accent5" w:themeTint="BF"/>
        <w:bottom w:val="single" w:sz="8" w:space="0" w:color="00FCD8" w:themeColor="accent5" w:themeTint="BF"/>
        <w:right w:val="single" w:sz="8" w:space="0" w:color="00FCD8" w:themeColor="accent5" w:themeTint="BF"/>
        <w:insideH w:val="single" w:sz="8" w:space="0" w:color="00FCD8" w:themeColor="accent5" w:themeTint="BF"/>
        <w:insideV w:val="single" w:sz="8" w:space="0" w:color="00FCD8" w:themeColor="accent5" w:themeTint="BF"/>
      </w:tblBorders>
    </w:tblPr>
    <w:tcPr>
      <w:shd w:val="clear" w:color="auto" w:fill="AAFFF3"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0FCD8" w:themeColor="accent5" w:themeTint="BF"/>
        </w:tcBorders>
      </w:tcPr>
    </w:tblStylePr>
    <w:tblStylePr w:type="firstCol">
      <w:rPr>
        <w:b/>
        <w:bCs/>
      </w:rPr>
    </w:tblStylePr>
    <w:tblStylePr w:type="lastCol">
      <w:rPr>
        <w:b/>
        <w:bCs/>
      </w:rPr>
    </w:tblStylePr>
    <w:tblStylePr w:type="band1Vert">
      <w:tblPr/>
      <w:tcPr>
        <w:shd w:val="clear" w:color="auto" w:fill="53FFE6" w:themeFill="accent5" w:themeFillTint="7F"/>
      </w:tcPr>
    </w:tblStylePr>
    <w:tblStylePr w:type="band1Horz">
      <w:tblPr/>
      <w:tcPr>
        <w:shd w:val="clear" w:color="auto" w:fill="53FFE6" w:themeFill="accent5" w:themeFillTint="7F"/>
      </w:tcPr>
    </w:tblStylePr>
  </w:style>
  <w:style w:type="table" w:styleId="MediumGrid1-Accent6">
    <w:name w:val="Medium Grid 1 Accent 6"/>
    <w:basedOn w:val="TableNormal"/>
    <w:uiPriority w:val="98"/>
    <w:rsid w:val="00BF744B"/>
    <w:tblPr>
      <w:tblStyleRowBandSize w:val="1"/>
      <w:tblStyleColBandSize w:val="1"/>
      <w:tblBorders>
        <w:top w:val="single" w:sz="8" w:space="0" w:color="61CD71" w:themeColor="accent6" w:themeTint="BF"/>
        <w:left w:val="single" w:sz="8" w:space="0" w:color="61CD71" w:themeColor="accent6" w:themeTint="BF"/>
        <w:bottom w:val="single" w:sz="8" w:space="0" w:color="61CD71" w:themeColor="accent6" w:themeTint="BF"/>
        <w:right w:val="single" w:sz="8" w:space="0" w:color="61CD71" w:themeColor="accent6" w:themeTint="BF"/>
        <w:insideH w:val="single" w:sz="8" w:space="0" w:color="61CD71" w:themeColor="accent6" w:themeTint="BF"/>
        <w:insideV w:val="single" w:sz="8" w:space="0" w:color="61CD71" w:themeColor="accent6" w:themeTint="BF"/>
      </w:tblBorders>
    </w:tblPr>
    <w:tcPr>
      <w:shd w:val="clear" w:color="auto" w:fill="CBEE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61CD71" w:themeColor="accent6" w:themeTint="BF"/>
        </w:tcBorders>
      </w:tcPr>
    </w:tblStylePr>
    <w:tblStylePr w:type="firstCol">
      <w:rPr>
        <w:b/>
        <w:bCs/>
      </w:rPr>
    </w:tblStylePr>
    <w:tblStylePr w:type="lastCol">
      <w:rPr>
        <w:b/>
        <w:bCs/>
      </w:rPr>
    </w:tblStylePr>
    <w:tblStylePr w:type="band1Vert">
      <w:tblPr/>
      <w:tcPr>
        <w:shd w:val="clear" w:color="auto" w:fill="96DEA0" w:themeFill="accent6" w:themeFillTint="7F"/>
      </w:tcPr>
    </w:tblStylePr>
    <w:tblStylePr w:type="band1Horz">
      <w:tblPr/>
      <w:tcPr>
        <w:shd w:val="clear" w:color="auto" w:fill="96DEA0" w:themeFill="accent6" w:themeFillTint="7F"/>
      </w:tcPr>
    </w:tblStylePr>
  </w:style>
  <w:style w:type="table" w:styleId="MediumGrid2">
    <w:name w:val="Medium Grid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Pr/>
      <w:tcPr>
        <w:shd w:val="clear" w:color="auto" w:fill="DCE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7F7" w:themeFill="accent1" w:themeFillTint="33"/>
      </w:tcPr>
    </w:tblStylePr>
    <w:tblStylePr w:type="band1Vert">
      <w:tblPr/>
      <w:tcPr>
        <w:shd w:val="clear" w:color="auto" w:fill="509BEB" w:themeFill="accent1" w:themeFillTint="7F"/>
      </w:tcPr>
    </w:tblStylePr>
    <w:tblStylePr w:type="band1Horz">
      <w:tblPr/>
      <w:tcPr>
        <w:tcBorders>
          <w:insideH w:val="single" w:sz="6" w:space="0" w:color="0C3B6C" w:themeColor="accent1"/>
          <w:insideV w:val="single" w:sz="6" w:space="0" w:color="0C3B6C" w:themeColor="accent1"/>
        </w:tcBorders>
        <w:shd w:val="clear" w:color="auto" w:fill="509B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215EAC" w:themeColor="accent3"/>
        <w:left w:val="single" w:sz="8" w:space="0" w:color="215EAC" w:themeColor="accent3"/>
        <w:bottom w:val="single" w:sz="8" w:space="0" w:color="215EAC" w:themeColor="accent3"/>
        <w:right w:val="single" w:sz="8" w:space="0" w:color="215EAC" w:themeColor="accent3"/>
        <w:insideH w:val="single" w:sz="8" w:space="0" w:color="215EAC" w:themeColor="accent3"/>
        <w:insideV w:val="single" w:sz="8" w:space="0" w:color="215EAC" w:themeColor="accent3"/>
      </w:tblBorders>
    </w:tblPr>
    <w:tcPr>
      <w:shd w:val="clear" w:color="auto" w:fill="BFD5F2" w:themeFill="accent3" w:themeFillTint="3F"/>
      <w:tcMar>
        <w:top w:w="57" w:type="dxa"/>
        <w:left w:w="57" w:type="dxa"/>
        <w:bottom w:w="57" w:type="dxa"/>
        <w:right w:w="57" w:type="dxa"/>
      </w:tcMar>
    </w:tcPr>
    <w:tblStylePr w:type="firstRow">
      <w:rPr>
        <w:rFonts w:asciiTheme="majorHAnsi" w:hAnsiTheme="majorHAnsi"/>
        <w:b/>
        <w:bCs/>
      </w:rPr>
      <w:tblPr/>
      <w:tcPr>
        <w:shd w:val="clear" w:color="auto" w:fill="E5E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F5" w:themeFill="accent3" w:themeFillTint="33"/>
      </w:tcPr>
    </w:tblStylePr>
    <w:tblStylePr w:type="band1Vert">
      <w:tblPr/>
      <w:tcPr>
        <w:shd w:val="clear" w:color="auto" w:fill="7FACE6" w:themeFill="accent3" w:themeFillTint="7F"/>
      </w:tcPr>
    </w:tblStylePr>
    <w:tblStylePr w:type="band1Horz">
      <w:tblPr/>
      <w:tcPr>
        <w:tcBorders>
          <w:insideH w:val="single" w:sz="6" w:space="0" w:color="215EAC" w:themeColor="accent3"/>
          <w:insideV w:val="single" w:sz="6" w:space="0" w:color="215EAC" w:themeColor="accent3"/>
        </w:tcBorders>
        <w:shd w:val="clear" w:color="auto" w:fill="7FAC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8AA3BA" w:themeColor="accent4"/>
        <w:left w:val="single" w:sz="8" w:space="0" w:color="8AA3BA" w:themeColor="accent4"/>
        <w:bottom w:val="single" w:sz="8" w:space="0" w:color="8AA3BA" w:themeColor="accent4"/>
        <w:right w:val="single" w:sz="8" w:space="0" w:color="8AA3BA" w:themeColor="accent4"/>
        <w:insideH w:val="single" w:sz="8" w:space="0" w:color="8AA3BA" w:themeColor="accent4"/>
        <w:insideV w:val="single" w:sz="8" w:space="0" w:color="8AA3BA" w:themeColor="accent4"/>
      </w:tblBorders>
    </w:tblPr>
    <w:tcPr>
      <w:shd w:val="clear" w:color="auto" w:fill="E2E8EE" w:themeFill="accent4" w:themeFillTint="3F"/>
      <w:tcMar>
        <w:top w:w="57" w:type="dxa"/>
        <w:left w:w="57" w:type="dxa"/>
        <w:bottom w:w="57" w:type="dxa"/>
        <w:right w:w="57" w:type="dxa"/>
      </w:tcMar>
    </w:tcPr>
    <w:tblStylePr w:type="firstRow">
      <w:rPr>
        <w:rFonts w:asciiTheme="majorHAnsi" w:hAnsiTheme="majorHAnsi"/>
        <w:b/>
        <w:bCs/>
      </w:rPr>
      <w:tblPr/>
      <w:tcPr>
        <w:shd w:val="clear" w:color="auto" w:fill="F3F5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1" w:themeFill="accent4" w:themeFillTint="33"/>
      </w:tcPr>
    </w:tblStylePr>
    <w:tblStylePr w:type="band1Vert">
      <w:tblPr/>
      <w:tcPr>
        <w:shd w:val="clear" w:color="auto" w:fill="C4D1DC" w:themeFill="accent4" w:themeFillTint="7F"/>
      </w:tcPr>
    </w:tblStylePr>
    <w:tblStylePr w:type="band1Horz">
      <w:tblPr/>
      <w:tcPr>
        <w:tcBorders>
          <w:insideH w:val="single" w:sz="6" w:space="0" w:color="8AA3BA" w:themeColor="accent4"/>
          <w:insideV w:val="single" w:sz="6" w:space="0" w:color="8AA3BA" w:themeColor="accent4"/>
        </w:tcBorders>
        <w:shd w:val="clear" w:color="auto" w:fill="C4D1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00A68F" w:themeColor="accent5"/>
        <w:left w:val="single" w:sz="8" w:space="0" w:color="00A68F" w:themeColor="accent5"/>
        <w:bottom w:val="single" w:sz="8" w:space="0" w:color="00A68F" w:themeColor="accent5"/>
        <w:right w:val="single" w:sz="8" w:space="0" w:color="00A68F" w:themeColor="accent5"/>
        <w:insideH w:val="single" w:sz="8" w:space="0" w:color="00A68F" w:themeColor="accent5"/>
        <w:insideV w:val="single" w:sz="8" w:space="0" w:color="00A68F" w:themeColor="accent5"/>
      </w:tblBorders>
    </w:tblPr>
    <w:tcPr>
      <w:shd w:val="clear" w:color="auto" w:fill="AAFFF3" w:themeFill="accent5" w:themeFillTint="3F"/>
      <w:tcMar>
        <w:top w:w="57" w:type="dxa"/>
        <w:left w:w="57" w:type="dxa"/>
        <w:bottom w:w="57" w:type="dxa"/>
        <w:right w:w="57" w:type="dxa"/>
      </w:tcMar>
    </w:tcPr>
    <w:tblStylePr w:type="firstRow">
      <w:rPr>
        <w:rFonts w:asciiTheme="majorHAnsi" w:hAnsiTheme="majorHAnsi"/>
        <w:b/>
        <w:bCs/>
      </w:rPr>
      <w:tblPr/>
      <w:tcPr>
        <w:shd w:val="clear" w:color="auto" w:fill="DDFF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5" w:themeFill="accent5" w:themeFillTint="33"/>
      </w:tcPr>
    </w:tblStylePr>
    <w:tblStylePr w:type="band1Vert">
      <w:tblPr/>
      <w:tcPr>
        <w:shd w:val="clear" w:color="auto" w:fill="53FFE6" w:themeFill="accent5" w:themeFillTint="7F"/>
      </w:tcPr>
    </w:tblStylePr>
    <w:tblStylePr w:type="band1Horz">
      <w:tblPr/>
      <w:tcPr>
        <w:tcBorders>
          <w:insideH w:val="single" w:sz="6" w:space="0" w:color="00A68F" w:themeColor="accent5"/>
          <w:insideV w:val="single" w:sz="6" w:space="0" w:color="00A68F" w:themeColor="accent5"/>
        </w:tcBorders>
        <w:shd w:val="clear" w:color="auto" w:fill="53FFE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38B24A" w:themeColor="accent6"/>
        <w:left w:val="single" w:sz="8" w:space="0" w:color="38B24A" w:themeColor="accent6"/>
        <w:bottom w:val="single" w:sz="8" w:space="0" w:color="38B24A" w:themeColor="accent6"/>
        <w:right w:val="single" w:sz="8" w:space="0" w:color="38B24A" w:themeColor="accent6"/>
        <w:insideH w:val="single" w:sz="8" w:space="0" w:color="38B24A" w:themeColor="accent6"/>
        <w:insideV w:val="single" w:sz="8" w:space="0" w:color="38B24A" w:themeColor="accent6"/>
      </w:tblBorders>
    </w:tblPr>
    <w:tcPr>
      <w:shd w:val="clear" w:color="auto" w:fill="CBEE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EA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1D9" w:themeFill="accent6" w:themeFillTint="33"/>
      </w:tcPr>
    </w:tblStylePr>
    <w:tblStylePr w:type="band1Vert">
      <w:tblPr/>
      <w:tcPr>
        <w:shd w:val="clear" w:color="auto" w:fill="96DEA0" w:themeFill="accent6" w:themeFillTint="7F"/>
      </w:tcPr>
    </w:tblStylePr>
    <w:tblStylePr w:type="band1Horz">
      <w:tblPr/>
      <w:tcPr>
        <w:tcBorders>
          <w:insideH w:val="single" w:sz="6" w:space="0" w:color="38B24A" w:themeColor="accent6"/>
          <w:insideV w:val="single" w:sz="6" w:space="0" w:color="38B24A" w:themeColor="accent6"/>
        </w:tcBorders>
        <w:shd w:val="clear" w:color="auto" w:fill="96DE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3B6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3B6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B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BEB" w:themeFill="accent1" w:themeFillTint="7F"/>
      </w:tcPr>
    </w:tblStylePr>
  </w:style>
  <w:style w:type="table" w:styleId="MediumGrid3-Accent2">
    <w:name w:val="Medium Grid 3 Accent 2"/>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5F2"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5EA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5EA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5EA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5EA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AC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FACE6" w:themeFill="accent3" w:themeFillTint="7F"/>
      </w:tcPr>
    </w:tblStylePr>
  </w:style>
  <w:style w:type="table" w:styleId="MediumGrid3-Accent4">
    <w:name w:val="Medium Grid 3 Accent 4"/>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8EE"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3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3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3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A3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D1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D1DC" w:themeFill="accent4" w:themeFillTint="7F"/>
      </w:tcPr>
    </w:tblStylePr>
  </w:style>
  <w:style w:type="table" w:styleId="MediumGrid3-Accent5">
    <w:name w:val="Medium Grid 3 Accent 5"/>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3"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68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68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68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68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E6" w:themeFill="accent5" w:themeFillTint="7F"/>
      </w:tcPr>
    </w:tblStylePr>
  </w:style>
  <w:style w:type="table" w:styleId="MediumGrid3-Accent6">
    <w:name w:val="Medium Grid 3 Accent 6"/>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B2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B2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B2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B2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E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EA0" w:themeFill="accent6" w:themeFillTint="7F"/>
      </w:tcPr>
    </w:tblStylePr>
  </w:style>
  <w:style w:type="table" w:styleId="MediumList1">
    <w:name w:val="Medium List 1"/>
    <w:basedOn w:val="TableNormal"/>
    <w:uiPriority w:val="98"/>
    <w:rsid w:val="00BF744B"/>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F744B"/>
    <w:rPr>
      <w:color w:val="000000" w:themeColor="text1"/>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C3B6C" w:themeColor="accent1"/>
        </w:tcBorders>
      </w:tcPr>
    </w:tblStylePr>
    <w:tblStylePr w:type="lastRow">
      <w:rPr>
        <w:b/>
        <w:bCs/>
        <w:color w:val="000000" w:themeColor="text2"/>
      </w:rPr>
      <w:tblPr/>
      <w:tcPr>
        <w:tcBorders>
          <w:top w:val="single" w:sz="8" w:space="0" w:color="0C3B6C" w:themeColor="accent1"/>
          <w:bottom w:val="single" w:sz="8" w:space="0" w:color="0C3B6C" w:themeColor="accent1"/>
        </w:tcBorders>
      </w:tcPr>
    </w:tblStylePr>
    <w:tblStylePr w:type="firstCol">
      <w:rPr>
        <w:b/>
        <w:bCs/>
      </w:rPr>
    </w:tblStylePr>
    <w:tblStylePr w:type="lastCol">
      <w:rPr>
        <w:b/>
        <w:bCs/>
      </w:rPr>
      <w:tblPr/>
      <w:tcPr>
        <w:tcBorders>
          <w:top w:val="single" w:sz="8" w:space="0" w:color="0C3B6C" w:themeColor="accent1"/>
          <w:bottom w:val="single" w:sz="8" w:space="0" w:color="0C3B6C" w:themeColor="accent1"/>
        </w:tcBorders>
      </w:tcPr>
    </w:tblStylePr>
    <w:tblStylePr w:type="band1Vert">
      <w:tblPr/>
      <w:tcPr>
        <w:shd w:val="clear" w:color="auto" w:fill="A8CDF5" w:themeFill="accent1" w:themeFillTint="3F"/>
      </w:tcPr>
    </w:tblStylePr>
    <w:tblStylePr w:type="band1Horz">
      <w:tblPr/>
      <w:tcPr>
        <w:shd w:val="clear" w:color="auto" w:fill="A8CDF5" w:themeFill="accent1" w:themeFillTint="3F"/>
      </w:tcPr>
    </w:tblStylePr>
  </w:style>
  <w:style w:type="table" w:styleId="MediumList1-Accent2">
    <w:name w:val="Medium List 1 Accent 2"/>
    <w:basedOn w:val="TableNormal"/>
    <w:uiPriority w:val="98"/>
    <w:rsid w:val="00BF744B"/>
    <w:rPr>
      <w:color w:val="000000" w:themeColor="text1"/>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000000"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98"/>
    <w:rsid w:val="00BF744B"/>
    <w:rPr>
      <w:color w:val="000000" w:themeColor="text1"/>
    </w:rPr>
    <w:tblPr>
      <w:tblStyleRowBandSize w:val="1"/>
      <w:tblStyleColBandSize w:val="1"/>
      <w:tblBorders>
        <w:top w:val="single" w:sz="8" w:space="0" w:color="215EAC" w:themeColor="accent3"/>
        <w:bottom w:val="single" w:sz="8" w:space="0" w:color="215EAC"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215EAC" w:themeColor="accent3"/>
        </w:tcBorders>
      </w:tcPr>
    </w:tblStylePr>
    <w:tblStylePr w:type="lastRow">
      <w:rPr>
        <w:b/>
        <w:bCs/>
        <w:color w:val="000000" w:themeColor="text2"/>
      </w:rPr>
      <w:tblPr/>
      <w:tcPr>
        <w:tcBorders>
          <w:top w:val="single" w:sz="8" w:space="0" w:color="215EAC" w:themeColor="accent3"/>
          <w:bottom w:val="single" w:sz="8" w:space="0" w:color="215EAC" w:themeColor="accent3"/>
        </w:tcBorders>
      </w:tcPr>
    </w:tblStylePr>
    <w:tblStylePr w:type="firstCol">
      <w:rPr>
        <w:b/>
        <w:bCs/>
      </w:rPr>
    </w:tblStylePr>
    <w:tblStylePr w:type="lastCol">
      <w:rPr>
        <w:b/>
        <w:bCs/>
      </w:rPr>
      <w:tblPr/>
      <w:tcPr>
        <w:tcBorders>
          <w:top w:val="single" w:sz="8" w:space="0" w:color="215EAC" w:themeColor="accent3"/>
          <w:bottom w:val="single" w:sz="8" w:space="0" w:color="215EAC" w:themeColor="accent3"/>
        </w:tcBorders>
      </w:tcPr>
    </w:tblStylePr>
    <w:tblStylePr w:type="band1Vert">
      <w:tblPr/>
      <w:tcPr>
        <w:shd w:val="clear" w:color="auto" w:fill="BFD5F2" w:themeFill="accent3" w:themeFillTint="3F"/>
      </w:tcPr>
    </w:tblStylePr>
    <w:tblStylePr w:type="band1Horz">
      <w:tblPr/>
      <w:tcPr>
        <w:shd w:val="clear" w:color="auto" w:fill="BFD5F2" w:themeFill="accent3" w:themeFillTint="3F"/>
      </w:tcPr>
    </w:tblStylePr>
  </w:style>
  <w:style w:type="table" w:styleId="MediumList1-Accent4">
    <w:name w:val="Medium List 1 Accent 4"/>
    <w:basedOn w:val="TableNormal"/>
    <w:uiPriority w:val="98"/>
    <w:rsid w:val="00BF744B"/>
    <w:rPr>
      <w:color w:val="000000" w:themeColor="text1"/>
    </w:rPr>
    <w:tblPr>
      <w:tblStyleRowBandSize w:val="1"/>
      <w:tblStyleColBandSize w:val="1"/>
      <w:tblBorders>
        <w:top w:val="single" w:sz="8" w:space="0" w:color="8AA3BA" w:themeColor="accent4"/>
        <w:bottom w:val="single" w:sz="8" w:space="0" w:color="8AA3BA"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AA3BA" w:themeColor="accent4"/>
        </w:tcBorders>
      </w:tcPr>
    </w:tblStylePr>
    <w:tblStylePr w:type="lastRow">
      <w:rPr>
        <w:b/>
        <w:bCs/>
        <w:color w:val="000000" w:themeColor="text2"/>
      </w:rPr>
      <w:tblPr/>
      <w:tcPr>
        <w:tcBorders>
          <w:top w:val="single" w:sz="8" w:space="0" w:color="8AA3BA" w:themeColor="accent4"/>
          <w:bottom w:val="single" w:sz="8" w:space="0" w:color="8AA3BA" w:themeColor="accent4"/>
        </w:tcBorders>
      </w:tcPr>
    </w:tblStylePr>
    <w:tblStylePr w:type="firstCol">
      <w:rPr>
        <w:b/>
        <w:bCs/>
      </w:rPr>
    </w:tblStylePr>
    <w:tblStylePr w:type="lastCol">
      <w:rPr>
        <w:b/>
        <w:bCs/>
      </w:rPr>
      <w:tblPr/>
      <w:tcPr>
        <w:tcBorders>
          <w:top w:val="single" w:sz="8" w:space="0" w:color="8AA3BA" w:themeColor="accent4"/>
          <w:bottom w:val="single" w:sz="8" w:space="0" w:color="8AA3BA" w:themeColor="accent4"/>
        </w:tcBorders>
      </w:tcPr>
    </w:tblStylePr>
    <w:tblStylePr w:type="band1Vert">
      <w:tblPr/>
      <w:tcPr>
        <w:shd w:val="clear" w:color="auto" w:fill="E2E8EE" w:themeFill="accent4" w:themeFillTint="3F"/>
      </w:tcPr>
    </w:tblStylePr>
    <w:tblStylePr w:type="band1Horz">
      <w:tblPr/>
      <w:tcPr>
        <w:shd w:val="clear" w:color="auto" w:fill="E2E8EE" w:themeFill="accent4" w:themeFillTint="3F"/>
      </w:tcPr>
    </w:tblStylePr>
  </w:style>
  <w:style w:type="table" w:styleId="MediumList1-Accent5">
    <w:name w:val="Medium List 1 Accent 5"/>
    <w:basedOn w:val="TableNormal"/>
    <w:uiPriority w:val="98"/>
    <w:rsid w:val="00BF744B"/>
    <w:rPr>
      <w:color w:val="000000" w:themeColor="text1"/>
    </w:rPr>
    <w:tblPr>
      <w:tblStyleRowBandSize w:val="1"/>
      <w:tblStyleColBandSize w:val="1"/>
      <w:tblBorders>
        <w:top w:val="single" w:sz="8" w:space="0" w:color="00A68F" w:themeColor="accent5"/>
        <w:bottom w:val="single" w:sz="8" w:space="0" w:color="00A68F"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A68F" w:themeColor="accent5"/>
        </w:tcBorders>
      </w:tcPr>
    </w:tblStylePr>
    <w:tblStylePr w:type="lastRow">
      <w:rPr>
        <w:b/>
        <w:bCs/>
        <w:color w:val="000000" w:themeColor="text2"/>
      </w:rPr>
      <w:tblPr/>
      <w:tcPr>
        <w:tcBorders>
          <w:top w:val="single" w:sz="8" w:space="0" w:color="00A68F" w:themeColor="accent5"/>
          <w:bottom w:val="single" w:sz="8" w:space="0" w:color="00A68F" w:themeColor="accent5"/>
        </w:tcBorders>
      </w:tcPr>
    </w:tblStylePr>
    <w:tblStylePr w:type="firstCol">
      <w:rPr>
        <w:b/>
        <w:bCs/>
      </w:rPr>
    </w:tblStylePr>
    <w:tblStylePr w:type="lastCol">
      <w:rPr>
        <w:b/>
        <w:bCs/>
      </w:rPr>
      <w:tblPr/>
      <w:tcPr>
        <w:tcBorders>
          <w:top w:val="single" w:sz="8" w:space="0" w:color="00A68F" w:themeColor="accent5"/>
          <w:bottom w:val="single" w:sz="8" w:space="0" w:color="00A68F" w:themeColor="accent5"/>
        </w:tcBorders>
      </w:tcPr>
    </w:tblStylePr>
    <w:tblStylePr w:type="band1Vert">
      <w:tblPr/>
      <w:tcPr>
        <w:shd w:val="clear" w:color="auto" w:fill="AAFFF3" w:themeFill="accent5" w:themeFillTint="3F"/>
      </w:tcPr>
    </w:tblStylePr>
    <w:tblStylePr w:type="band1Horz">
      <w:tblPr/>
      <w:tcPr>
        <w:shd w:val="clear" w:color="auto" w:fill="AAFFF3" w:themeFill="accent5" w:themeFillTint="3F"/>
      </w:tcPr>
    </w:tblStylePr>
  </w:style>
  <w:style w:type="table" w:styleId="MediumList1-Accent6">
    <w:name w:val="Medium List 1 Accent 6"/>
    <w:basedOn w:val="TableNormal"/>
    <w:uiPriority w:val="98"/>
    <w:rsid w:val="00BF744B"/>
    <w:rPr>
      <w:color w:val="000000" w:themeColor="text1"/>
    </w:rPr>
    <w:tblPr>
      <w:tblStyleRowBandSize w:val="1"/>
      <w:tblStyleColBandSize w:val="1"/>
      <w:tblBorders>
        <w:top w:val="single" w:sz="8" w:space="0" w:color="38B24A" w:themeColor="accent6"/>
        <w:bottom w:val="single" w:sz="8" w:space="0" w:color="38B24A"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38B24A" w:themeColor="accent6"/>
        </w:tcBorders>
      </w:tcPr>
    </w:tblStylePr>
    <w:tblStylePr w:type="lastRow">
      <w:rPr>
        <w:b/>
        <w:bCs/>
        <w:color w:val="000000" w:themeColor="text2"/>
      </w:rPr>
      <w:tblPr/>
      <w:tcPr>
        <w:tcBorders>
          <w:top w:val="single" w:sz="8" w:space="0" w:color="38B24A" w:themeColor="accent6"/>
          <w:bottom w:val="single" w:sz="8" w:space="0" w:color="38B24A" w:themeColor="accent6"/>
        </w:tcBorders>
      </w:tcPr>
    </w:tblStylePr>
    <w:tblStylePr w:type="firstCol">
      <w:rPr>
        <w:b/>
        <w:bCs/>
      </w:rPr>
    </w:tblStylePr>
    <w:tblStylePr w:type="lastCol">
      <w:rPr>
        <w:b/>
        <w:bCs/>
      </w:rPr>
      <w:tblPr/>
      <w:tcPr>
        <w:tcBorders>
          <w:top w:val="single" w:sz="8" w:space="0" w:color="38B24A" w:themeColor="accent6"/>
          <w:bottom w:val="single" w:sz="8" w:space="0" w:color="38B24A" w:themeColor="accent6"/>
        </w:tcBorders>
      </w:tcPr>
    </w:tblStylePr>
    <w:tblStylePr w:type="band1Vert">
      <w:tblPr/>
      <w:tcPr>
        <w:shd w:val="clear" w:color="auto" w:fill="CBEED0" w:themeFill="accent6" w:themeFillTint="3F"/>
      </w:tcPr>
    </w:tblStylePr>
    <w:tblStylePr w:type="band1Horz">
      <w:tblPr/>
      <w:tcPr>
        <w:shd w:val="clear" w:color="auto" w:fill="CBEED0" w:themeFill="accent6" w:themeFillTint="3F"/>
      </w:tcPr>
    </w:tblStylePr>
  </w:style>
  <w:style w:type="table" w:styleId="MediumList2">
    <w:name w:val="Medium List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C3B6C" w:themeColor="accent1"/>
          <w:right w:val="nil"/>
          <w:insideH w:val="nil"/>
          <w:insideV w:val="nil"/>
        </w:tcBorders>
        <w:shd w:val="clear" w:color="auto" w:fill="FFFFFF" w:themeFill="background1"/>
      </w:tcPr>
    </w:tblStylePr>
    <w:tblStylePr w:type="lastRow">
      <w:tblPr/>
      <w:tcPr>
        <w:tcBorders>
          <w:top w:val="single" w:sz="8" w:space="0" w:color="0C3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3B6C" w:themeColor="accent1"/>
          <w:insideH w:val="nil"/>
          <w:insideV w:val="nil"/>
        </w:tcBorders>
        <w:shd w:val="clear" w:color="auto" w:fill="FFFFFF" w:themeFill="background1"/>
      </w:tcPr>
    </w:tblStylePr>
    <w:tblStylePr w:type="lastCol">
      <w:tblPr/>
      <w:tcPr>
        <w:tcBorders>
          <w:top w:val="nil"/>
          <w:left w:val="single" w:sz="8" w:space="0" w:color="0C3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top w:val="nil"/>
          <w:bottom w:val="nil"/>
          <w:insideH w:val="nil"/>
          <w:insideV w:val="nil"/>
        </w:tcBorders>
        <w:shd w:val="clear" w:color="auto" w:fill="A8CD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215EAC" w:themeColor="accent3"/>
        <w:left w:val="single" w:sz="8" w:space="0" w:color="215EAC" w:themeColor="accent3"/>
        <w:bottom w:val="single" w:sz="8" w:space="0" w:color="215EAC" w:themeColor="accent3"/>
        <w:right w:val="single" w:sz="8" w:space="0" w:color="215EAC"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215EAC" w:themeColor="accent3"/>
          <w:right w:val="nil"/>
          <w:insideH w:val="nil"/>
          <w:insideV w:val="nil"/>
        </w:tcBorders>
        <w:shd w:val="clear" w:color="auto" w:fill="FFFFFF" w:themeFill="background1"/>
      </w:tcPr>
    </w:tblStylePr>
    <w:tblStylePr w:type="lastRow">
      <w:tblPr/>
      <w:tcPr>
        <w:tcBorders>
          <w:top w:val="single" w:sz="8" w:space="0" w:color="215EA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5EAC" w:themeColor="accent3"/>
          <w:insideH w:val="nil"/>
          <w:insideV w:val="nil"/>
        </w:tcBorders>
        <w:shd w:val="clear" w:color="auto" w:fill="FFFFFF" w:themeFill="background1"/>
      </w:tcPr>
    </w:tblStylePr>
    <w:tblStylePr w:type="lastCol">
      <w:tblPr/>
      <w:tcPr>
        <w:tcBorders>
          <w:top w:val="nil"/>
          <w:left w:val="single" w:sz="8" w:space="0" w:color="215EA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D5F2" w:themeFill="accent3" w:themeFillTint="3F"/>
      </w:tcPr>
    </w:tblStylePr>
    <w:tblStylePr w:type="band1Horz">
      <w:tblPr/>
      <w:tcPr>
        <w:tcBorders>
          <w:top w:val="nil"/>
          <w:bottom w:val="nil"/>
          <w:insideH w:val="nil"/>
          <w:insideV w:val="nil"/>
        </w:tcBorders>
        <w:shd w:val="clear" w:color="auto" w:fill="BFD5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8AA3BA" w:themeColor="accent4"/>
        <w:left w:val="single" w:sz="8" w:space="0" w:color="8AA3BA" w:themeColor="accent4"/>
        <w:bottom w:val="single" w:sz="8" w:space="0" w:color="8AA3BA" w:themeColor="accent4"/>
        <w:right w:val="single" w:sz="8" w:space="0" w:color="8AA3BA"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AA3BA" w:themeColor="accent4"/>
          <w:right w:val="nil"/>
          <w:insideH w:val="nil"/>
          <w:insideV w:val="nil"/>
        </w:tcBorders>
        <w:shd w:val="clear" w:color="auto" w:fill="FFFFFF" w:themeFill="background1"/>
      </w:tcPr>
    </w:tblStylePr>
    <w:tblStylePr w:type="lastRow">
      <w:tblPr/>
      <w:tcPr>
        <w:tcBorders>
          <w:top w:val="single" w:sz="8" w:space="0" w:color="8AA3B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A3BA" w:themeColor="accent4"/>
          <w:insideH w:val="nil"/>
          <w:insideV w:val="nil"/>
        </w:tcBorders>
        <w:shd w:val="clear" w:color="auto" w:fill="FFFFFF" w:themeFill="background1"/>
      </w:tcPr>
    </w:tblStylePr>
    <w:tblStylePr w:type="lastCol">
      <w:tblPr/>
      <w:tcPr>
        <w:tcBorders>
          <w:top w:val="nil"/>
          <w:left w:val="single" w:sz="8" w:space="0" w:color="8AA3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8EE" w:themeFill="accent4" w:themeFillTint="3F"/>
      </w:tcPr>
    </w:tblStylePr>
    <w:tblStylePr w:type="band1Horz">
      <w:tblPr/>
      <w:tcPr>
        <w:tcBorders>
          <w:top w:val="nil"/>
          <w:bottom w:val="nil"/>
          <w:insideH w:val="nil"/>
          <w:insideV w:val="nil"/>
        </w:tcBorders>
        <w:shd w:val="clear" w:color="auto" w:fill="E2E8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00A68F" w:themeColor="accent5"/>
        <w:left w:val="single" w:sz="8" w:space="0" w:color="00A68F" w:themeColor="accent5"/>
        <w:bottom w:val="single" w:sz="8" w:space="0" w:color="00A68F" w:themeColor="accent5"/>
        <w:right w:val="single" w:sz="8" w:space="0" w:color="00A68F"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A68F" w:themeColor="accent5"/>
          <w:right w:val="nil"/>
          <w:insideH w:val="nil"/>
          <w:insideV w:val="nil"/>
        </w:tcBorders>
        <w:shd w:val="clear" w:color="auto" w:fill="FFFFFF" w:themeFill="background1"/>
      </w:tcPr>
    </w:tblStylePr>
    <w:tblStylePr w:type="lastRow">
      <w:tblPr/>
      <w:tcPr>
        <w:tcBorders>
          <w:top w:val="single" w:sz="8" w:space="0" w:color="00A68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68F" w:themeColor="accent5"/>
          <w:insideH w:val="nil"/>
          <w:insideV w:val="nil"/>
        </w:tcBorders>
        <w:shd w:val="clear" w:color="auto" w:fill="FFFFFF" w:themeFill="background1"/>
      </w:tcPr>
    </w:tblStylePr>
    <w:tblStylePr w:type="lastCol">
      <w:tblPr/>
      <w:tcPr>
        <w:tcBorders>
          <w:top w:val="nil"/>
          <w:left w:val="single" w:sz="8" w:space="0" w:color="00A68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3" w:themeFill="accent5" w:themeFillTint="3F"/>
      </w:tcPr>
    </w:tblStylePr>
    <w:tblStylePr w:type="band1Horz">
      <w:tblPr/>
      <w:tcPr>
        <w:tcBorders>
          <w:top w:val="nil"/>
          <w:bottom w:val="nil"/>
          <w:insideH w:val="nil"/>
          <w:insideV w:val="nil"/>
        </w:tcBorders>
        <w:shd w:val="clear" w:color="auto" w:fill="AAFF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38B24A" w:themeColor="accent6"/>
        <w:left w:val="single" w:sz="8" w:space="0" w:color="38B24A" w:themeColor="accent6"/>
        <w:bottom w:val="single" w:sz="8" w:space="0" w:color="38B24A" w:themeColor="accent6"/>
        <w:right w:val="single" w:sz="8" w:space="0" w:color="38B24A"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38B24A" w:themeColor="accent6"/>
          <w:right w:val="nil"/>
          <w:insideH w:val="nil"/>
          <w:insideV w:val="nil"/>
        </w:tcBorders>
        <w:shd w:val="clear" w:color="auto" w:fill="FFFFFF" w:themeFill="background1"/>
      </w:tcPr>
    </w:tblStylePr>
    <w:tblStylePr w:type="lastRow">
      <w:tblPr/>
      <w:tcPr>
        <w:tcBorders>
          <w:top w:val="single" w:sz="8" w:space="0" w:color="38B24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B24A" w:themeColor="accent6"/>
          <w:insideH w:val="nil"/>
          <w:insideV w:val="nil"/>
        </w:tcBorders>
        <w:shd w:val="clear" w:color="auto" w:fill="FFFFFF" w:themeFill="background1"/>
      </w:tcPr>
    </w:tblStylePr>
    <w:tblStylePr w:type="lastCol">
      <w:tblPr/>
      <w:tcPr>
        <w:tcBorders>
          <w:top w:val="nil"/>
          <w:left w:val="single" w:sz="8" w:space="0" w:color="38B24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D0" w:themeFill="accent6" w:themeFillTint="3F"/>
      </w:tcPr>
    </w:tblStylePr>
    <w:tblStylePr w:type="band1Horz">
      <w:tblPr/>
      <w:tcPr>
        <w:tcBorders>
          <w:top w:val="nil"/>
          <w:bottom w:val="nil"/>
          <w:insideH w:val="nil"/>
          <w:insideV w:val="nil"/>
        </w:tcBorders>
        <w:shd w:val="clear" w:color="auto" w:fill="CBEE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shd w:val="clear" w:color="auto" w:fill="0C3B6C" w:themeFill="accent1"/>
      </w:tcPr>
    </w:tblStylePr>
    <w:tblStylePr w:type="lastRow">
      <w:pPr>
        <w:spacing w:before="0" w:after="0" w:line="240" w:lineRule="auto"/>
      </w:pPr>
      <w:rPr>
        <w:b/>
        <w:bCs/>
      </w:rPr>
      <w:tblPr/>
      <w:tcPr>
        <w:tcBorders>
          <w:top w:val="double" w:sz="6"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DF5" w:themeFill="accent1" w:themeFillTint="3F"/>
      </w:tcPr>
    </w:tblStylePr>
    <w:tblStylePr w:type="band1Horz">
      <w:tblPr/>
      <w:tcPr>
        <w:tcBorders>
          <w:insideH w:val="nil"/>
          <w:insideV w:val="nil"/>
        </w:tcBorders>
        <w:shd w:val="clear" w:color="auto" w:fill="A8CD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F744B"/>
    <w:tblPr>
      <w:tblStyleRowBandSize w:val="1"/>
      <w:tblStyleColBandSize w:val="1"/>
      <w:tblBorders>
        <w:top w:val="single" w:sz="8" w:space="0" w:color="3F82DA" w:themeColor="accent3" w:themeTint="BF"/>
        <w:left w:val="single" w:sz="8" w:space="0" w:color="3F82DA" w:themeColor="accent3" w:themeTint="BF"/>
        <w:bottom w:val="single" w:sz="8" w:space="0" w:color="3F82DA" w:themeColor="accent3" w:themeTint="BF"/>
        <w:right w:val="single" w:sz="8" w:space="0" w:color="3F82DA" w:themeColor="accent3" w:themeTint="BF"/>
        <w:insideH w:val="single" w:sz="8" w:space="0" w:color="3F82DA"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3F82DA" w:themeColor="accent3" w:themeTint="BF"/>
          <w:left w:val="single" w:sz="8" w:space="0" w:color="3F82DA" w:themeColor="accent3" w:themeTint="BF"/>
          <w:bottom w:val="single" w:sz="8" w:space="0" w:color="3F82DA" w:themeColor="accent3" w:themeTint="BF"/>
          <w:right w:val="single" w:sz="8" w:space="0" w:color="3F82DA" w:themeColor="accent3" w:themeTint="BF"/>
          <w:insideH w:val="nil"/>
          <w:insideV w:val="nil"/>
        </w:tcBorders>
        <w:shd w:val="clear" w:color="auto" w:fill="215EAC" w:themeFill="accent3"/>
      </w:tcPr>
    </w:tblStylePr>
    <w:tblStylePr w:type="lastRow">
      <w:pPr>
        <w:spacing w:before="0" w:after="0" w:line="240" w:lineRule="auto"/>
      </w:pPr>
      <w:rPr>
        <w:b/>
        <w:bCs/>
      </w:rPr>
      <w:tblPr/>
      <w:tcPr>
        <w:tcBorders>
          <w:top w:val="double" w:sz="6" w:space="0" w:color="3F82DA" w:themeColor="accent3" w:themeTint="BF"/>
          <w:left w:val="single" w:sz="8" w:space="0" w:color="3F82DA" w:themeColor="accent3" w:themeTint="BF"/>
          <w:bottom w:val="single" w:sz="8" w:space="0" w:color="3F82DA" w:themeColor="accent3" w:themeTint="BF"/>
          <w:right w:val="single" w:sz="8" w:space="0" w:color="3F82D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FD5F2" w:themeFill="accent3" w:themeFillTint="3F"/>
      </w:tcPr>
    </w:tblStylePr>
    <w:tblStylePr w:type="band1Horz">
      <w:tblPr/>
      <w:tcPr>
        <w:tcBorders>
          <w:insideH w:val="nil"/>
          <w:insideV w:val="nil"/>
        </w:tcBorders>
        <w:shd w:val="clear" w:color="auto" w:fill="BFD5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F744B"/>
    <w:tblPr>
      <w:tblStyleRowBandSize w:val="1"/>
      <w:tblStyleColBandSize w:val="1"/>
      <w:tblBorders>
        <w:top w:val="single" w:sz="8" w:space="0" w:color="A7B9CB" w:themeColor="accent4" w:themeTint="BF"/>
        <w:left w:val="single" w:sz="8" w:space="0" w:color="A7B9CB" w:themeColor="accent4" w:themeTint="BF"/>
        <w:bottom w:val="single" w:sz="8" w:space="0" w:color="A7B9CB" w:themeColor="accent4" w:themeTint="BF"/>
        <w:right w:val="single" w:sz="8" w:space="0" w:color="A7B9CB" w:themeColor="accent4" w:themeTint="BF"/>
        <w:insideH w:val="single" w:sz="8" w:space="0" w:color="A7B9CB"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7B9CB" w:themeColor="accent4" w:themeTint="BF"/>
          <w:left w:val="single" w:sz="8" w:space="0" w:color="A7B9CB" w:themeColor="accent4" w:themeTint="BF"/>
          <w:bottom w:val="single" w:sz="8" w:space="0" w:color="A7B9CB" w:themeColor="accent4" w:themeTint="BF"/>
          <w:right w:val="single" w:sz="8" w:space="0" w:color="A7B9CB" w:themeColor="accent4" w:themeTint="BF"/>
          <w:insideH w:val="nil"/>
          <w:insideV w:val="nil"/>
        </w:tcBorders>
        <w:shd w:val="clear" w:color="auto" w:fill="8AA3BA" w:themeFill="accent4"/>
      </w:tcPr>
    </w:tblStylePr>
    <w:tblStylePr w:type="lastRow">
      <w:pPr>
        <w:spacing w:before="0" w:after="0" w:line="240" w:lineRule="auto"/>
      </w:pPr>
      <w:rPr>
        <w:b/>
        <w:bCs/>
      </w:rPr>
      <w:tblPr/>
      <w:tcPr>
        <w:tcBorders>
          <w:top w:val="double" w:sz="6" w:space="0" w:color="A7B9CB" w:themeColor="accent4" w:themeTint="BF"/>
          <w:left w:val="single" w:sz="8" w:space="0" w:color="A7B9CB" w:themeColor="accent4" w:themeTint="BF"/>
          <w:bottom w:val="single" w:sz="8" w:space="0" w:color="A7B9CB" w:themeColor="accent4" w:themeTint="BF"/>
          <w:right w:val="single" w:sz="8" w:space="0" w:color="A7B9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8EE" w:themeFill="accent4" w:themeFillTint="3F"/>
      </w:tcPr>
    </w:tblStylePr>
    <w:tblStylePr w:type="band1Horz">
      <w:tblPr/>
      <w:tcPr>
        <w:tcBorders>
          <w:insideH w:val="nil"/>
          <w:insideV w:val="nil"/>
        </w:tcBorders>
        <w:shd w:val="clear" w:color="auto" w:fill="E2E8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F744B"/>
    <w:tblPr>
      <w:tblStyleRowBandSize w:val="1"/>
      <w:tblStyleColBandSize w:val="1"/>
      <w:tblBorders>
        <w:top w:val="single" w:sz="8" w:space="0" w:color="00FCD8" w:themeColor="accent5" w:themeTint="BF"/>
        <w:left w:val="single" w:sz="8" w:space="0" w:color="00FCD8" w:themeColor="accent5" w:themeTint="BF"/>
        <w:bottom w:val="single" w:sz="8" w:space="0" w:color="00FCD8" w:themeColor="accent5" w:themeTint="BF"/>
        <w:right w:val="single" w:sz="8" w:space="0" w:color="00FCD8" w:themeColor="accent5" w:themeTint="BF"/>
        <w:insideH w:val="single" w:sz="8" w:space="0" w:color="00FCD8"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0FCD8" w:themeColor="accent5" w:themeTint="BF"/>
          <w:left w:val="single" w:sz="8" w:space="0" w:color="00FCD8" w:themeColor="accent5" w:themeTint="BF"/>
          <w:bottom w:val="single" w:sz="8" w:space="0" w:color="00FCD8" w:themeColor="accent5" w:themeTint="BF"/>
          <w:right w:val="single" w:sz="8" w:space="0" w:color="00FCD8" w:themeColor="accent5" w:themeTint="BF"/>
          <w:insideH w:val="nil"/>
          <w:insideV w:val="nil"/>
        </w:tcBorders>
        <w:shd w:val="clear" w:color="auto" w:fill="00A68F" w:themeFill="accent5"/>
      </w:tcPr>
    </w:tblStylePr>
    <w:tblStylePr w:type="lastRow">
      <w:pPr>
        <w:spacing w:before="0" w:after="0" w:line="240" w:lineRule="auto"/>
      </w:pPr>
      <w:rPr>
        <w:b/>
        <w:bCs/>
      </w:rPr>
      <w:tblPr/>
      <w:tcPr>
        <w:tcBorders>
          <w:top w:val="double" w:sz="6" w:space="0" w:color="00FCD8" w:themeColor="accent5" w:themeTint="BF"/>
          <w:left w:val="single" w:sz="8" w:space="0" w:color="00FCD8" w:themeColor="accent5" w:themeTint="BF"/>
          <w:bottom w:val="single" w:sz="8" w:space="0" w:color="00FCD8" w:themeColor="accent5" w:themeTint="BF"/>
          <w:right w:val="single" w:sz="8" w:space="0" w:color="00FCD8"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FF3" w:themeFill="accent5" w:themeFillTint="3F"/>
      </w:tcPr>
    </w:tblStylePr>
    <w:tblStylePr w:type="band1Horz">
      <w:tblPr/>
      <w:tcPr>
        <w:tcBorders>
          <w:insideH w:val="nil"/>
          <w:insideV w:val="nil"/>
        </w:tcBorders>
        <w:shd w:val="clear" w:color="auto" w:fill="AAFF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F744B"/>
    <w:tblPr>
      <w:tblStyleRowBandSize w:val="1"/>
      <w:tblStyleColBandSize w:val="1"/>
      <w:tblBorders>
        <w:top w:val="single" w:sz="8" w:space="0" w:color="61CD71" w:themeColor="accent6" w:themeTint="BF"/>
        <w:left w:val="single" w:sz="8" w:space="0" w:color="61CD71" w:themeColor="accent6" w:themeTint="BF"/>
        <w:bottom w:val="single" w:sz="8" w:space="0" w:color="61CD71" w:themeColor="accent6" w:themeTint="BF"/>
        <w:right w:val="single" w:sz="8" w:space="0" w:color="61CD71" w:themeColor="accent6" w:themeTint="BF"/>
        <w:insideH w:val="single" w:sz="8" w:space="0" w:color="61CD71"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61CD71" w:themeColor="accent6" w:themeTint="BF"/>
          <w:left w:val="single" w:sz="8" w:space="0" w:color="61CD71" w:themeColor="accent6" w:themeTint="BF"/>
          <w:bottom w:val="single" w:sz="8" w:space="0" w:color="61CD71" w:themeColor="accent6" w:themeTint="BF"/>
          <w:right w:val="single" w:sz="8" w:space="0" w:color="61CD71" w:themeColor="accent6" w:themeTint="BF"/>
          <w:insideH w:val="nil"/>
          <w:insideV w:val="nil"/>
        </w:tcBorders>
        <w:shd w:val="clear" w:color="auto" w:fill="38B24A" w:themeFill="accent6"/>
      </w:tcPr>
    </w:tblStylePr>
    <w:tblStylePr w:type="lastRow">
      <w:pPr>
        <w:spacing w:before="0" w:after="0" w:line="240" w:lineRule="auto"/>
      </w:pPr>
      <w:rPr>
        <w:b/>
        <w:bCs/>
      </w:rPr>
      <w:tblPr/>
      <w:tcPr>
        <w:tcBorders>
          <w:top w:val="double" w:sz="6" w:space="0" w:color="61CD71" w:themeColor="accent6" w:themeTint="BF"/>
          <w:left w:val="single" w:sz="8" w:space="0" w:color="61CD71" w:themeColor="accent6" w:themeTint="BF"/>
          <w:bottom w:val="single" w:sz="8" w:space="0" w:color="61CD71" w:themeColor="accent6" w:themeTint="BF"/>
          <w:right w:val="single" w:sz="8" w:space="0" w:color="61CD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BEED0" w:themeFill="accent6" w:themeFillTint="3F"/>
      </w:tcPr>
    </w:tblStylePr>
    <w:tblStylePr w:type="band1Horz">
      <w:tblPr/>
      <w:tcPr>
        <w:tcBorders>
          <w:insideH w:val="nil"/>
          <w:insideV w:val="nil"/>
        </w:tcBorders>
        <w:shd w:val="clear" w:color="auto" w:fill="CBEE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C3B6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3B6C" w:themeFill="accent1"/>
      </w:tcPr>
    </w:tblStylePr>
    <w:tblStylePr w:type="lastCol">
      <w:rPr>
        <w:b/>
        <w:bCs/>
        <w:color w:val="FFFFFF" w:themeColor="background1"/>
      </w:rPr>
      <w:tblPr/>
      <w:tcPr>
        <w:tcBorders>
          <w:left w:val="nil"/>
          <w:right w:val="nil"/>
          <w:insideH w:val="nil"/>
          <w:insideV w:val="nil"/>
        </w:tcBorders>
        <w:shd w:val="clear" w:color="auto" w:fill="0C3B6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15EA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5EAC" w:themeFill="accent3"/>
      </w:tcPr>
    </w:tblStylePr>
    <w:tblStylePr w:type="lastCol">
      <w:rPr>
        <w:b/>
        <w:bCs/>
        <w:color w:val="FFFFFF" w:themeColor="background1"/>
      </w:rPr>
      <w:tblPr/>
      <w:tcPr>
        <w:tcBorders>
          <w:left w:val="nil"/>
          <w:right w:val="nil"/>
          <w:insideH w:val="nil"/>
          <w:insideV w:val="nil"/>
        </w:tcBorders>
        <w:shd w:val="clear" w:color="auto" w:fill="215EA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AA3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A3BA" w:themeFill="accent4"/>
      </w:tcPr>
    </w:tblStylePr>
    <w:tblStylePr w:type="lastCol">
      <w:rPr>
        <w:b/>
        <w:bCs/>
        <w:color w:val="FFFFFF" w:themeColor="background1"/>
      </w:rPr>
      <w:tblPr/>
      <w:tcPr>
        <w:tcBorders>
          <w:left w:val="nil"/>
          <w:right w:val="nil"/>
          <w:insideH w:val="nil"/>
          <w:insideV w:val="nil"/>
        </w:tcBorders>
        <w:shd w:val="clear" w:color="auto" w:fill="8AA3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6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68F" w:themeFill="accent5"/>
      </w:tcPr>
    </w:tblStylePr>
    <w:tblStylePr w:type="lastCol">
      <w:rPr>
        <w:b/>
        <w:bCs/>
        <w:color w:val="FFFFFF" w:themeColor="background1"/>
      </w:rPr>
      <w:tblPr/>
      <w:tcPr>
        <w:tcBorders>
          <w:left w:val="nil"/>
          <w:right w:val="nil"/>
          <w:insideH w:val="nil"/>
          <w:insideV w:val="nil"/>
        </w:tcBorders>
        <w:shd w:val="clear" w:color="auto" w:fill="00A68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38B24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B24A" w:themeFill="accent6"/>
      </w:tcPr>
    </w:tblStylePr>
    <w:tblStylePr w:type="lastCol">
      <w:rPr>
        <w:b/>
        <w:bCs/>
        <w:color w:val="FFFFFF" w:themeColor="background1"/>
      </w:rPr>
      <w:tblPr/>
      <w:tcPr>
        <w:tcBorders>
          <w:left w:val="nil"/>
          <w:right w:val="nil"/>
          <w:insideH w:val="nil"/>
          <w:insideV w:val="nil"/>
        </w:tcBorders>
        <w:shd w:val="clear" w:color="auto" w:fill="38B24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BF744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BF744B"/>
    <w:rPr>
      <w:rFonts w:asciiTheme="minorHAnsi" w:eastAsiaTheme="majorEastAsia" w:hAnsiTheme="minorHAnsi" w:cstheme="majorBidi"/>
      <w:sz w:val="24"/>
      <w:szCs w:val="24"/>
      <w:shd w:val="pct20" w:color="auto" w:fill="auto"/>
    </w:rPr>
  </w:style>
  <w:style w:type="paragraph" w:styleId="NormalWeb">
    <w:name w:val="Normal (Web)"/>
    <w:basedOn w:val="Normal"/>
    <w:uiPriority w:val="99"/>
    <w:semiHidden/>
    <w:rsid w:val="00BF744B"/>
    <w:rPr>
      <w:sz w:val="24"/>
      <w:szCs w:val="24"/>
    </w:rPr>
  </w:style>
  <w:style w:type="paragraph" w:styleId="NormalIndent">
    <w:name w:val="Normal Indent"/>
    <w:basedOn w:val="Normal"/>
    <w:semiHidden/>
    <w:rsid w:val="00BF744B"/>
    <w:pPr>
      <w:ind w:left="720"/>
    </w:pPr>
  </w:style>
  <w:style w:type="paragraph" w:styleId="NoteHeading">
    <w:name w:val="Note Heading"/>
    <w:basedOn w:val="Normal"/>
    <w:next w:val="Normal"/>
    <w:link w:val="NoteHeadingChar"/>
    <w:uiPriority w:val="97"/>
    <w:semiHidden/>
    <w:rsid w:val="00BF744B"/>
    <w:rPr>
      <w:rFonts w:asciiTheme="majorHAnsi" w:hAnsiTheme="majorHAnsi"/>
    </w:rPr>
  </w:style>
  <w:style w:type="character" w:customStyle="1" w:styleId="NoteHeadingChar">
    <w:name w:val="Note Heading Char"/>
    <w:basedOn w:val="DefaultParagraphFont"/>
    <w:link w:val="NoteHeading"/>
    <w:rsid w:val="00BF744B"/>
    <w:rPr>
      <w:rFonts w:asciiTheme="majorHAnsi" w:hAnsiTheme="majorHAnsi"/>
    </w:rPr>
  </w:style>
  <w:style w:type="character" w:styleId="PlaceholderText">
    <w:name w:val="Placeholder Text"/>
    <w:basedOn w:val="DefaultParagraphFont"/>
    <w:uiPriority w:val="97"/>
    <w:semiHidden/>
    <w:rsid w:val="008F06C6"/>
    <w:rPr>
      <w:rFonts w:asciiTheme="minorHAnsi" w:hAnsiTheme="minorHAnsi"/>
      <w:color w:val="FF0000"/>
    </w:rPr>
  </w:style>
  <w:style w:type="paragraph" w:styleId="PlainText">
    <w:name w:val="Plain Text"/>
    <w:basedOn w:val="Normal"/>
    <w:link w:val="PlainTextChar"/>
    <w:uiPriority w:val="97"/>
    <w:semiHidden/>
    <w:rsid w:val="00BF744B"/>
    <w:rPr>
      <w:rFonts w:cs="Consolas"/>
      <w:sz w:val="21"/>
      <w:szCs w:val="21"/>
    </w:rPr>
  </w:style>
  <w:style w:type="character" w:customStyle="1" w:styleId="PlainTextChar">
    <w:name w:val="Plain Text Char"/>
    <w:basedOn w:val="DefaultParagraphFont"/>
    <w:link w:val="PlainText"/>
    <w:rsid w:val="00BF744B"/>
    <w:rPr>
      <w:rFonts w:asciiTheme="minorHAnsi" w:hAnsiTheme="minorHAnsi" w:cs="Consolas"/>
      <w:sz w:val="21"/>
      <w:szCs w:val="21"/>
    </w:rPr>
  </w:style>
  <w:style w:type="paragraph" w:styleId="Quote">
    <w:name w:val="Quote"/>
    <w:basedOn w:val="Normal"/>
    <w:next w:val="Normal"/>
    <w:link w:val="QuoteChar"/>
    <w:uiPriority w:val="97"/>
    <w:qFormat/>
    <w:rsid w:val="00946AB5"/>
    <w:pPr>
      <w:spacing w:before="160" w:after="160" w:line="360" w:lineRule="atLeast"/>
    </w:pPr>
    <w:rPr>
      <w:i/>
      <w:iCs/>
      <w:color w:val="009FDF" w:themeColor="accent2"/>
      <w:sz w:val="32"/>
    </w:rPr>
  </w:style>
  <w:style w:type="character" w:customStyle="1" w:styleId="QuoteChar">
    <w:name w:val="Quote Char"/>
    <w:basedOn w:val="DefaultParagraphFont"/>
    <w:link w:val="Quote"/>
    <w:uiPriority w:val="97"/>
    <w:rsid w:val="00946AB5"/>
    <w:rPr>
      <w:rFonts w:asciiTheme="minorHAnsi" w:hAnsiTheme="minorHAnsi"/>
      <w:i/>
      <w:iCs/>
      <w:color w:val="009FDF" w:themeColor="accent2"/>
      <w:spacing w:val="-1"/>
      <w:sz w:val="32"/>
    </w:rPr>
  </w:style>
  <w:style w:type="paragraph" w:styleId="Salutation">
    <w:name w:val="Salutation"/>
    <w:basedOn w:val="Normal"/>
    <w:next w:val="Normal"/>
    <w:link w:val="SalutationChar"/>
    <w:uiPriority w:val="97"/>
    <w:semiHidden/>
    <w:rsid w:val="00BF744B"/>
  </w:style>
  <w:style w:type="character" w:customStyle="1" w:styleId="SalutationChar">
    <w:name w:val="Salutation Char"/>
    <w:basedOn w:val="DefaultParagraphFont"/>
    <w:link w:val="Salutation"/>
    <w:rsid w:val="00BF744B"/>
    <w:rPr>
      <w:rFonts w:asciiTheme="minorHAnsi" w:hAnsiTheme="minorHAnsi"/>
    </w:rPr>
  </w:style>
  <w:style w:type="paragraph" w:styleId="Signature">
    <w:name w:val="Signature"/>
    <w:basedOn w:val="Normal"/>
    <w:link w:val="SignatureChar"/>
    <w:uiPriority w:val="97"/>
    <w:semiHidden/>
    <w:rsid w:val="00BF744B"/>
    <w:pPr>
      <w:ind w:left="4252"/>
    </w:pPr>
  </w:style>
  <w:style w:type="character" w:customStyle="1" w:styleId="SignatureChar">
    <w:name w:val="Signature Char"/>
    <w:basedOn w:val="DefaultParagraphFont"/>
    <w:link w:val="Signature"/>
    <w:rsid w:val="00BF744B"/>
    <w:rPr>
      <w:rFonts w:asciiTheme="minorHAnsi" w:hAnsiTheme="minorHAnsi"/>
    </w:rPr>
  </w:style>
  <w:style w:type="character" w:styleId="Strong">
    <w:name w:val="Strong"/>
    <w:basedOn w:val="DefaultParagraphFont"/>
    <w:uiPriority w:val="22"/>
    <w:qFormat/>
    <w:rsid w:val="00BF744B"/>
    <w:rPr>
      <w:rFonts w:asciiTheme="minorHAnsi" w:hAnsiTheme="minorHAnsi"/>
      <w:b/>
      <w:bCs/>
    </w:rPr>
  </w:style>
  <w:style w:type="paragraph" w:styleId="Subtitle">
    <w:name w:val="Subtitle"/>
    <w:basedOn w:val="Normal"/>
    <w:next w:val="Normal"/>
    <w:link w:val="SubtitleChar"/>
    <w:uiPriority w:val="97"/>
    <w:qFormat/>
    <w:rsid w:val="00593EB7"/>
    <w:pPr>
      <w:numPr>
        <w:ilvl w:val="1"/>
      </w:numPr>
      <w:spacing w:after="340"/>
    </w:pPr>
    <w:rPr>
      <w:rFonts w:eastAsiaTheme="majorEastAsia" w:cstheme="majorBidi"/>
      <w:iCs/>
      <w:color w:val="0C3B6C" w:themeColor="accent1"/>
      <w:spacing w:val="15"/>
      <w:sz w:val="32"/>
      <w:szCs w:val="24"/>
    </w:rPr>
  </w:style>
  <w:style w:type="character" w:customStyle="1" w:styleId="SubtitleChar">
    <w:name w:val="Subtitle Char"/>
    <w:basedOn w:val="DefaultParagraphFont"/>
    <w:link w:val="Subtitle"/>
    <w:uiPriority w:val="97"/>
    <w:rsid w:val="00593EB7"/>
    <w:rPr>
      <w:rFonts w:asciiTheme="minorHAnsi" w:eastAsiaTheme="majorEastAsia" w:hAnsiTheme="minorHAnsi" w:cstheme="majorBidi"/>
      <w:iCs/>
      <w:color w:val="0C3B6C" w:themeColor="accent1"/>
      <w:spacing w:val="15"/>
      <w:sz w:val="32"/>
      <w:szCs w:val="24"/>
    </w:rPr>
  </w:style>
  <w:style w:type="character" w:styleId="SubtleEmphasis">
    <w:name w:val="Subtle Emphasis"/>
    <w:basedOn w:val="DefaultParagraphFont"/>
    <w:uiPriority w:val="97"/>
    <w:semiHidden/>
    <w:rsid w:val="00BF744B"/>
    <w:rPr>
      <w:rFonts w:asciiTheme="minorHAnsi" w:hAnsiTheme="minorHAnsi"/>
      <w:i/>
      <w:iCs/>
      <w:color w:val="808080" w:themeColor="text1" w:themeTint="7F"/>
    </w:rPr>
  </w:style>
  <w:style w:type="character" w:styleId="SubtleReference">
    <w:name w:val="Subtle Reference"/>
    <w:basedOn w:val="DefaultParagraphFont"/>
    <w:uiPriority w:val="97"/>
    <w:semiHidden/>
    <w:rsid w:val="00BF744B"/>
    <w:rPr>
      <w:rFonts w:asciiTheme="minorHAnsi" w:hAnsiTheme="minorHAnsi"/>
      <w:smallCaps/>
      <w:color w:val="009FDF" w:themeColor="accent2"/>
      <w:u w:val="single"/>
    </w:rPr>
  </w:style>
  <w:style w:type="table" w:styleId="Table3Deffects1">
    <w:name w:val="Table 3D effects 1"/>
    <w:basedOn w:val="TableNormal"/>
    <w:uiPriority w:val="98"/>
    <w:rsid w:val="00BF744B"/>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BF744B"/>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BF744B"/>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BF74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BF744B"/>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BF74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BF744B"/>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BF74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BF744B"/>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BF744B"/>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BF74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BF744B"/>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BF74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BF744B"/>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BF74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BF744B"/>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BF74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BF744B"/>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BF74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BF74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BF74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BF744B"/>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BF744B"/>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BF744B"/>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BF74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BF744B"/>
    <w:pPr>
      <w:ind w:left="200" w:hanging="200"/>
    </w:pPr>
  </w:style>
  <w:style w:type="paragraph" w:styleId="TableofFigures">
    <w:name w:val="table of figures"/>
    <w:basedOn w:val="Normal"/>
    <w:next w:val="Normal"/>
    <w:uiPriority w:val="97"/>
    <w:semiHidden/>
    <w:rsid w:val="00BF744B"/>
  </w:style>
  <w:style w:type="table" w:styleId="TableProfessional">
    <w:name w:val="Table Professional"/>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BF744B"/>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BF744B"/>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BF744B"/>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BF744B"/>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BF744B"/>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B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BF74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BF74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BF74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qFormat/>
    <w:rsid w:val="002160A1"/>
    <w:pPr>
      <w:spacing w:after="80"/>
      <w:contextualSpacing/>
    </w:pPr>
    <w:rPr>
      <w:rFonts w:eastAsiaTheme="majorEastAsia" w:cstheme="majorBidi"/>
      <w:color w:val="0C3B6C" w:themeColor="accent1"/>
      <w:spacing w:val="5"/>
      <w:kern w:val="28"/>
      <w:sz w:val="60"/>
      <w:szCs w:val="52"/>
    </w:rPr>
  </w:style>
  <w:style w:type="character" w:customStyle="1" w:styleId="TitleChar">
    <w:name w:val="Title Char"/>
    <w:basedOn w:val="DefaultParagraphFont"/>
    <w:link w:val="Title"/>
    <w:uiPriority w:val="97"/>
    <w:rsid w:val="002160A1"/>
    <w:rPr>
      <w:rFonts w:asciiTheme="minorHAnsi" w:eastAsiaTheme="majorEastAsia" w:hAnsiTheme="minorHAnsi" w:cstheme="majorBidi"/>
      <w:color w:val="0C3B6C" w:themeColor="accent1"/>
      <w:spacing w:val="5"/>
      <w:kern w:val="28"/>
      <w:sz w:val="60"/>
      <w:szCs w:val="52"/>
    </w:rPr>
  </w:style>
  <w:style w:type="paragraph" w:styleId="TOAHeading">
    <w:name w:val="toa heading"/>
    <w:basedOn w:val="Normal"/>
    <w:next w:val="Normal"/>
    <w:uiPriority w:val="97"/>
    <w:semiHidden/>
    <w:rsid w:val="00BF744B"/>
    <w:pPr>
      <w:spacing w:before="120"/>
    </w:pPr>
    <w:rPr>
      <w:rFonts w:asciiTheme="majorHAnsi" w:eastAsiaTheme="majorEastAsia" w:hAnsiTheme="majorHAnsi" w:cstheme="majorBidi"/>
      <w:b/>
      <w:bCs/>
      <w:sz w:val="24"/>
      <w:szCs w:val="24"/>
    </w:rPr>
  </w:style>
  <w:style w:type="paragraph" w:styleId="TOC2">
    <w:name w:val="toc 2"/>
    <w:basedOn w:val="Normal"/>
    <w:uiPriority w:val="39"/>
    <w:qFormat/>
    <w:rsid w:val="00083429"/>
    <w:pPr>
      <w:tabs>
        <w:tab w:val="left" w:pos="3833"/>
        <w:tab w:val="right" w:leader="dot" w:pos="9639"/>
      </w:tabs>
      <w:ind w:left="3345"/>
      <w:contextualSpacing/>
    </w:pPr>
  </w:style>
  <w:style w:type="paragraph" w:styleId="TOC3">
    <w:name w:val="toc 3"/>
    <w:basedOn w:val="Normal"/>
    <w:next w:val="Normal"/>
    <w:autoRedefine/>
    <w:uiPriority w:val="39"/>
    <w:semiHidden/>
    <w:qFormat/>
    <w:rsid w:val="00BF744B"/>
    <w:pPr>
      <w:spacing w:after="100"/>
      <w:ind w:left="400"/>
    </w:pPr>
  </w:style>
  <w:style w:type="paragraph" w:styleId="TOC4">
    <w:name w:val="toc 4"/>
    <w:basedOn w:val="Normal"/>
    <w:next w:val="Normal"/>
    <w:autoRedefine/>
    <w:uiPriority w:val="97"/>
    <w:semiHidden/>
    <w:rsid w:val="00BF744B"/>
    <w:pPr>
      <w:spacing w:after="100"/>
      <w:ind w:left="600"/>
    </w:pPr>
  </w:style>
  <w:style w:type="paragraph" w:styleId="TOC5">
    <w:name w:val="toc 5"/>
    <w:basedOn w:val="Normal"/>
    <w:next w:val="Normal"/>
    <w:autoRedefine/>
    <w:uiPriority w:val="97"/>
    <w:semiHidden/>
    <w:rsid w:val="00BF744B"/>
    <w:pPr>
      <w:spacing w:after="100"/>
      <w:ind w:left="800"/>
    </w:pPr>
  </w:style>
  <w:style w:type="paragraph" w:styleId="TOC6">
    <w:name w:val="toc 6"/>
    <w:basedOn w:val="Normal"/>
    <w:next w:val="Normal"/>
    <w:autoRedefine/>
    <w:uiPriority w:val="97"/>
    <w:semiHidden/>
    <w:rsid w:val="00BF744B"/>
    <w:pPr>
      <w:spacing w:after="100"/>
      <w:ind w:left="1000"/>
    </w:pPr>
  </w:style>
  <w:style w:type="paragraph" w:styleId="TOC7">
    <w:name w:val="toc 7"/>
    <w:basedOn w:val="Normal"/>
    <w:next w:val="Normal"/>
    <w:autoRedefine/>
    <w:uiPriority w:val="97"/>
    <w:semiHidden/>
    <w:rsid w:val="00BF744B"/>
    <w:pPr>
      <w:spacing w:after="100"/>
      <w:ind w:left="1200"/>
    </w:pPr>
  </w:style>
  <w:style w:type="paragraph" w:styleId="TOC8">
    <w:name w:val="toc 8"/>
    <w:basedOn w:val="Normal"/>
    <w:next w:val="Normal"/>
    <w:autoRedefine/>
    <w:uiPriority w:val="97"/>
    <w:semiHidden/>
    <w:rsid w:val="00BF744B"/>
    <w:pPr>
      <w:spacing w:after="100"/>
      <w:ind w:left="1400"/>
    </w:pPr>
  </w:style>
  <w:style w:type="paragraph" w:styleId="TOC9">
    <w:name w:val="toc 9"/>
    <w:basedOn w:val="Normal"/>
    <w:next w:val="Normal"/>
    <w:autoRedefine/>
    <w:uiPriority w:val="97"/>
    <w:semiHidden/>
    <w:rsid w:val="00BF744B"/>
    <w:pPr>
      <w:spacing w:after="100"/>
      <w:ind w:left="1600"/>
    </w:pPr>
  </w:style>
  <w:style w:type="paragraph" w:styleId="TOCHeading">
    <w:name w:val="TOC Heading"/>
    <w:basedOn w:val="Heading1"/>
    <w:next w:val="Normal"/>
    <w:uiPriority w:val="39"/>
    <w:semiHidden/>
    <w:unhideWhenUsed/>
    <w:qFormat/>
    <w:rsid w:val="00BF744B"/>
    <w:pPr>
      <w:keepLines/>
      <w:spacing w:before="480"/>
      <w:outlineLvl w:val="9"/>
    </w:pPr>
    <w:rPr>
      <w:rFonts w:eastAsiaTheme="majorEastAsia" w:cstheme="majorBidi"/>
      <w:color w:val="092B50" w:themeColor="accent1" w:themeShade="BF"/>
      <w:szCs w:val="28"/>
    </w:rPr>
  </w:style>
  <w:style w:type="character" w:customStyle="1" w:styleId="z-TopofFormChar">
    <w:name w:val="z-Top of Form Char"/>
    <w:basedOn w:val="DefaultParagraphFont"/>
    <w:link w:val="z-TopofForm"/>
    <w:rsid w:val="003858AD"/>
    <w:rPr>
      <w:rFonts w:ascii="Arial" w:hAnsi="Arial" w:cs="Arial"/>
      <w:vanish/>
      <w:sz w:val="16"/>
      <w:szCs w:val="16"/>
    </w:rPr>
  </w:style>
  <w:style w:type="paragraph" w:styleId="z-BottomofForm">
    <w:name w:val="HTML Bottom of Form"/>
    <w:basedOn w:val="Normal"/>
    <w:next w:val="Normal"/>
    <w:link w:val="z-BottomofFormChar"/>
    <w:hidden/>
    <w:rsid w:val="003858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858AD"/>
    <w:rPr>
      <w:rFonts w:ascii="Arial" w:hAnsi="Arial" w:cs="Arial"/>
      <w:vanish/>
      <w:sz w:val="16"/>
      <w:szCs w:val="16"/>
    </w:rPr>
  </w:style>
  <w:style w:type="paragraph" w:customStyle="1" w:styleId="LabelWhite">
    <w:name w:val="Label_White"/>
    <w:basedOn w:val="Label"/>
    <w:link w:val="LabelWhiteChar"/>
    <w:semiHidden/>
    <w:rsid w:val="008632D8"/>
    <w:rPr>
      <w:color w:val="FFFFFF" w:themeColor="background1"/>
    </w:rPr>
  </w:style>
  <w:style w:type="character" w:customStyle="1" w:styleId="LabelChar">
    <w:name w:val="Label Char"/>
    <w:basedOn w:val="DefaultParagraphFont"/>
    <w:link w:val="Label"/>
    <w:semiHidden/>
    <w:rsid w:val="003F676F"/>
    <w:rPr>
      <w:rFonts w:asciiTheme="minorHAnsi" w:hAnsiTheme="minorHAnsi"/>
      <w:sz w:val="18"/>
    </w:rPr>
  </w:style>
  <w:style w:type="character" w:customStyle="1" w:styleId="LabelWhiteChar">
    <w:name w:val="Label_White Char"/>
    <w:basedOn w:val="LabelChar"/>
    <w:link w:val="LabelWhite"/>
    <w:semiHidden/>
    <w:rsid w:val="003F676F"/>
    <w:rPr>
      <w:rFonts w:asciiTheme="minorHAnsi" w:hAnsiTheme="minorHAnsi"/>
      <w:color w:val="FFFFFF" w:themeColor="background1"/>
      <w:sz w:val="18"/>
    </w:rPr>
  </w:style>
  <w:style w:type="paragraph" w:customStyle="1" w:styleId="DocType">
    <w:name w:val="DocType"/>
    <w:basedOn w:val="Normal"/>
    <w:semiHidden/>
    <w:rsid w:val="008F06C6"/>
    <w:rPr>
      <w:color w:val="FFFFFF" w:themeColor="background1"/>
      <w:sz w:val="60"/>
    </w:rPr>
  </w:style>
  <w:style w:type="paragraph" w:customStyle="1" w:styleId="Contents">
    <w:name w:val="Contents"/>
    <w:basedOn w:val="Normal"/>
    <w:qFormat/>
    <w:rsid w:val="00DB6415"/>
    <w:pPr>
      <w:ind w:left="3260"/>
    </w:pPr>
    <w:rPr>
      <w:color w:val="0C3B6C" w:themeColor="accent1"/>
      <w:sz w:val="60"/>
    </w:rPr>
  </w:style>
  <w:style w:type="paragraph" w:customStyle="1" w:styleId="PullOutText">
    <w:name w:val="PullOut_Text"/>
    <w:qFormat/>
    <w:rsid w:val="00F35A89"/>
    <w:pPr>
      <w:tabs>
        <w:tab w:val="left" w:pos="539"/>
      </w:tabs>
      <w:spacing w:line="240" w:lineRule="atLeast"/>
      <w:ind w:left="255" w:right="255"/>
    </w:pPr>
    <w:rPr>
      <w:rFonts w:asciiTheme="minorHAnsi" w:hAnsiTheme="minorHAnsi"/>
      <w:color w:val="000000" w:themeColor="text2"/>
      <w:spacing w:val="1"/>
      <w:sz w:val="18"/>
    </w:rPr>
  </w:style>
  <w:style w:type="paragraph" w:customStyle="1" w:styleId="PullOutHeading">
    <w:name w:val="PullOut_Heading"/>
    <w:basedOn w:val="Normal"/>
    <w:qFormat/>
    <w:rsid w:val="00D87574"/>
    <w:pPr>
      <w:framePr w:hSpace="181" w:wrap="around" w:vAnchor="page" w:hAnchor="page" w:x="852" w:y="1589"/>
      <w:spacing w:before="240" w:line="242" w:lineRule="atLeast"/>
      <w:ind w:left="255"/>
    </w:pPr>
    <w:rPr>
      <w:b/>
      <w:color w:val="0C3B6C" w:themeColor="accent1"/>
      <w:spacing w:val="7"/>
    </w:rPr>
  </w:style>
  <w:style w:type="paragraph" w:customStyle="1" w:styleId="FootnoteSeparator">
    <w:name w:val="Footnote Separator"/>
    <w:basedOn w:val="Normal"/>
    <w:rsid w:val="00973604"/>
    <w:pPr>
      <w:spacing w:after="120"/>
    </w:pPr>
    <w:rPr>
      <w:sz w:val="13"/>
    </w:rPr>
  </w:style>
  <w:style w:type="paragraph" w:customStyle="1" w:styleId="CoverTitle">
    <w:name w:val="Cover Title"/>
    <w:basedOn w:val="Normal"/>
    <w:qFormat/>
    <w:rsid w:val="00287524"/>
    <w:pPr>
      <w:spacing w:after="300" w:line="228" w:lineRule="auto"/>
      <w:ind w:right="567"/>
      <w:contextualSpacing/>
    </w:pPr>
    <w:rPr>
      <w:rFonts w:asciiTheme="majorHAnsi" w:hAnsiTheme="majorHAnsi"/>
      <w:color w:val="FFFFFF"/>
      <w:spacing w:val="0"/>
      <w:sz w:val="60"/>
    </w:rPr>
  </w:style>
  <w:style w:type="paragraph" w:customStyle="1" w:styleId="Heading1Summary">
    <w:name w:val="Heading 1 Summary"/>
    <w:basedOn w:val="Normal"/>
    <w:next w:val="Normal"/>
    <w:qFormat/>
    <w:rsid w:val="00AE0517"/>
    <w:pPr>
      <w:ind w:left="3345"/>
    </w:pPr>
    <w:rPr>
      <w:i/>
    </w:rPr>
  </w:style>
  <w:style w:type="paragraph" w:customStyle="1" w:styleId="CoverSubtitle">
    <w:name w:val="Cover Subtitle"/>
    <w:basedOn w:val="CoverTitle"/>
    <w:qFormat/>
    <w:rsid w:val="004E40C2"/>
    <w:pPr>
      <w:spacing w:after="0" w:line="350" w:lineRule="atLeast"/>
      <w:ind w:right="851"/>
    </w:pPr>
    <w:rPr>
      <w:b/>
      <w:sz w:val="36"/>
    </w:rPr>
  </w:style>
  <w:style w:type="paragraph" w:customStyle="1" w:styleId="CoverDetails">
    <w:name w:val="Cover Details"/>
    <w:qFormat/>
    <w:rsid w:val="00081D2D"/>
    <w:pPr>
      <w:spacing w:before="200"/>
      <w:contextualSpacing/>
    </w:pPr>
    <w:rPr>
      <w:rFonts w:asciiTheme="minorHAnsi" w:hAnsiTheme="minorHAnsi"/>
      <w:color w:val="009FDF" w:themeColor="accent2"/>
      <w:sz w:val="28"/>
    </w:rPr>
  </w:style>
  <w:style w:type="paragraph" w:customStyle="1" w:styleId="QAHeading">
    <w:name w:val="Q/A Heading"/>
    <w:basedOn w:val="Normal"/>
    <w:next w:val="QAPoints"/>
    <w:qFormat/>
    <w:rsid w:val="0014788C"/>
    <w:pPr>
      <w:pBdr>
        <w:top w:val="single" w:sz="8" w:space="3" w:color="0C3B6C" w:themeColor="accent1"/>
      </w:pBdr>
      <w:spacing w:before="320" w:after="100"/>
    </w:pPr>
    <w:rPr>
      <w:b/>
    </w:rPr>
  </w:style>
  <w:style w:type="paragraph" w:customStyle="1" w:styleId="QAPoints">
    <w:name w:val="Q/A Points"/>
    <w:basedOn w:val="QAHeading"/>
    <w:qFormat/>
    <w:rsid w:val="0014788C"/>
    <w:pPr>
      <w:numPr>
        <w:numId w:val="10"/>
      </w:numPr>
      <w:pBdr>
        <w:top w:val="none" w:sz="0" w:space="0" w:color="auto"/>
        <w:bottom w:val="single" w:sz="8" w:space="5" w:color="0C3B6C" w:themeColor="accent1"/>
      </w:pBdr>
      <w:tabs>
        <w:tab w:val="left" w:pos="284"/>
      </w:tabs>
      <w:spacing w:before="0"/>
    </w:pPr>
    <w:rPr>
      <w:b w:val="0"/>
    </w:rPr>
  </w:style>
  <w:style w:type="numbering" w:customStyle="1" w:styleId="ASXNumbers">
    <w:name w:val="ASX Numbers"/>
    <w:uiPriority w:val="99"/>
    <w:rsid w:val="00282D8A"/>
    <w:pPr>
      <w:numPr>
        <w:numId w:val="8"/>
      </w:numPr>
    </w:pPr>
  </w:style>
  <w:style w:type="paragraph" w:customStyle="1" w:styleId="NumberedHeading1">
    <w:name w:val="Numbered Heading 1"/>
    <w:basedOn w:val="Heading1"/>
    <w:qFormat/>
    <w:rsid w:val="00F45A1E"/>
    <w:pPr>
      <w:numPr>
        <w:numId w:val="14"/>
      </w:numPr>
    </w:pPr>
    <w:rPr>
      <w:sz w:val="28"/>
    </w:rPr>
  </w:style>
  <w:style w:type="paragraph" w:customStyle="1" w:styleId="NumberedHeading2">
    <w:name w:val="Numbered Heading 2"/>
    <w:next w:val="Normal"/>
    <w:qFormat/>
    <w:rsid w:val="00736C97"/>
    <w:pPr>
      <w:keepNext/>
      <w:numPr>
        <w:ilvl w:val="1"/>
        <w:numId w:val="14"/>
      </w:numPr>
      <w:spacing w:after="140"/>
    </w:pPr>
    <w:rPr>
      <w:rFonts w:asciiTheme="minorHAnsi" w:hAnsiTheme="minorHAnsi"/>
      <w:b/>
      <w:color w:val="009FDF" w:themeColor="accent2"/>
      <w:spacing w:val="-1"/>
      <w:sz w:val="24"/>
    </w:rPr>
  </w:style>
  <w:style w:type="numbering" w:customStyle="1" w:styleId="ASXNumberedHeadings">
    <w:name w:val="ASX NumberedHeadings"/>
    <w:uiPriority w:val="99"/>
    <w:rsid w:val="00602892"/>
    <w:pPr>
      <w:numPr>
        <w:numId w:val="9"/>
      </w:numPr>
    </w:pPr>
  </w:style>
  <w:style w:type="table" w:customStyle="1" w:styleId="TableASX">
    <w:name w:val="Table_ASX"/>
    <w:basedOn w:val="TableNormal"/>
    <w:uiPriority w:val="99"/>
    <w:rsid w:val="00A062A3"/>
    <w:rPr>
      <w:rFonts w:ascii="Arial Narrow" w:hAnsi="Arial Narrow"/>
    </w:rPr>
    <w:tblPr>
      <w:tblBorders>
        <w:top w:val="single" w:sz="8" w:space="0" w:color="0C3B6C" w:themeColor="accent1"/>
        <w:bottom w:val="single" w:sz="8" w:space="0" w:color="0C3B6C" w:themeColor="accent1"/>
        <w:insideH w:val="single" w:sz="4" w:space="0" w:color="0C3B6C" w:themeColor="accent1"/>
      </w:tblBorders>
    </w:tblPr>
    <w:tblStylePr w:type="firstRow">
      <w:rPr>
        <w:b/>
        <w:color w:val="009FDF" w:themeColor="accent2"/>
      </w:rPr>
      <w:tblPr/>
      <w:tcPr>
        <w:tcBorders>
          <w:top w:val="single" w:sz="8" w:space="0" w:color="0C3B6C" w:themeColor="accent1"/>
          <w:left w:val="nil"/>
          <w:bottom w:val="single" w:sz="8" w:space="0" w:color="0C3B6C" w:themeColor="accent1"/>
          <w:right w:val="nil"/>
          <w:insideH w:val="nil"/>
          <w:insideV w:val="nil"/>
          <w:tl2br w:val="nil"/>
          <w:tr2bl w:val="nil"/>
        </w:tcBorders>
      </w:tcPr>
    </w:tblStylePr>
  </w:style>
  <w:style w:type="paragraph" w:customStyle="1" w:styleId="TableText">
    <w:name w:val="Table Text"/>
    <w:basedOn w:val="Normal"/>
    <w:qFormat/>
    <w:rsid w:val="00D5191B"/>
    <w:pPr>
      <w:spacing w:before="50" w:after="50"/>
    </w:pPr>
    <w:rPr>
      <w:color w:val="000000" w:themeColor="text2"/>
    </w:rPr>
  </w:style>
  <w:style w:type="paragraph" w:customStyle="1" w:styleId="TableHeading">
    <w:name w:val="Table Heading"/>
    <w:basedOn w:val="TableText"/>
    <w:next w:val="TableText"/>
    <w:qFormat/>
    <w:rsid w:val="00A062A3"/>
    <w:rPr>
      <w:color w:val="009FDF" w:themeColor="accent2"/>
    </w:rPr>
  </w:style>
  <w:style w:type="numbering" w:customStyle="1" w:styleId="ASXQAPoints">
    <w:name w:val="ASX Q/A Points"/>
    <w:uiPriority w:val="99"/>
    <w:rsid w:val="00F522E8"/>
    <w:pPr>
      <w:numPr>
        <w:numId w:val="13"/>
      </w:numPr>
    </w:pPr>
  </w:style>
  <w:style w:type="paragraph" w:customStyle="1" w:styleId="NumberedHeading4">
    <w:name w:val="Numbered Heading 4"/>
    <w:basedOn w:val="Heading4"/>
    <w:next w:val="Normal"/>
    <w:qFormat/>
    <w:rsid w:val="00602892"/>
    <w:pPr>
      <w:numPr>
        <w:ilvl w:val="3"/>
        <w:numId w:val="14"/>
      </w:numPr>
    </w:pPr>
  </w:style>
  <w:style w:type="character" w:customStyle="1" w:styleId="UnresolvedMention1">
    <w:name w:val="Unresolved Mention1"/>
    <w:basedOn w:val="DefaultParagraphFont"/>
    <w:uiPriority w:val="99"/>
    <w:semiHidden/>
    <w:unhideWhenUsed/>
    <w:rsid w:val="005F1DF5"/>
    <w:rPr>
      <w:color w:val="808080"/>
      <w:shd w:val="clear" w:color="auto" w:fill="E6E6E6"/>
    </w:rPr>
  </w:style>
  <w:style w:type="paragraph" w:customStyle="1" w:styleId="PullOutVersion">
    <w:name w:val="PullOut_Version"/>
    <w:basedOn w:val="PullOutText"/>
    <w:qFormat/>
    <w:rsid w:val="005F1DF5"/>
    <w:pPr>
      <w:spacing w:line="260" w:lineRule="atLeast"/>
    </w:pPr>
    <w:rPr>
      <w:b/>
      <w:color w:val="009FDF" w:themeColor="accent2"/>
      <w:sz w:val="22"/>
    </w:rPr>
  </w:style>
  <w:style w:type="table" w:customStyle="1" w:styleId="LayoutGrid">
    <w:name w:val="Layout Grid"/>
    <w:basedOn w:val="TableNormal"/>
    <w:uiPriority w:val="99"/>
    <w:rsid w:val="001372E3"/>
    <w:rPr>
      <w:rFonts w:asciiTheme="minorHAnsi" w:hAnsiTheme="minorHAnsi"/>
    </w:rPr>
    <w:tblPr>
      <w:tblCellMar>
        <w:left w:w="0" w:type="dxa"/>
        <w:right w:w="0" w:type="dxa"/>
      </w:tblCellMar>
    </w:tblPr>
  </w:style>
  <w:style w:type="paragraph" w:customStyle="1" w:styleId="Introduction">
    <w:name w:val="Introduction"/>
    <w:basedOn w:val="Normal"/>
    <w:qFormat/>
    <w:rsid w:val="002160A1"/>
    <w:pPr>
      <w:spacing w:line="280" w:lineRule="atLeast"/>
    </w:pPr>
    <w:rPr>
      <w:color w:val="009FDF" w:themeColor="accent2"/>
      <w:sz w:val="24"/>
    </w:rPr>
  </w:style>
  <w:style w:type="paragraph" w:customStyle="1" w:styleId="Overview">
    <w:name w:val="Overview"/>
    <w:basedOn w:val="Normal"/>
    <w:qFormat/>
    <w:rsid w:val="00D67CEF"/>
    <w:rPr>
      <w:b/>
      <w:color w:val="0C3B6C" w:themeColor="accent1"/>
    </w:rPr>
  </w:style>
  <w:style w:type="numbering" w:customStyle="1" w:styleId="BulletList">
    <w:name w:val="BulletList"/>
    <w:uiPriority w:val="99"/>
    <w:rsid w:val="008325E5"/>
    <w:pPr>
      <w:numPr>
        <w:numId w:val="11"/>
      </w:numPr>
    </w:pPr>
  </w:style>
  <w:style w:type="paragraph" w:styleId="ListNumber">
    <w:name w:val="List Number"/>
    <w:basedOn w:val="Normal"/>
    <w:uiPriority w:val="3"/>
    <w:qFormat/>
    <w:rsid w:val="002A5F05"/>
    <w:pPr>
      <w:numPr>
        <w:numId w:val="12"/>
      </w:numPr>
      <w:contextualSpacing/>
    </w:pPr>
  </w:style>
  <w:style w:type="paragraph" w:customStyle="1" w:styleId="NumberedHeading5">
    <w:name w:val="Numbered Heading 5"/>
    <w:basedOn w:val="Heading5"/>
    <w:next w:val="Normal"/>
    <w:qFormat/>
    <w:rsid w:val="00602892"/>
    <w:pPr>
      <w:numPr>
        <w:ilvl w:val="4"/>
        <w:numId w:val="14"/>
      </w:numPr>
    </w:pPr>
  </w:style>
  <w:style w:type="paragraph" w:customStyle="1" w:styleId="Note1">
    <w:name w:val="Note 1"/>
    <w:basedOn w:val="Normal"/>
    <w:qFormat/>
    <w:rsid w:val="00750AAD"/>
    <w:pPr>
      <w:spacing w:before="120" w:after="120"/>
      <w:ind w:left="709"/>
    </w:pPr>
    <w:rPr>
      <w:rFonts w:ascii="Arial" w:eastAsia="Times New Roman" w:hAnsi="Arial"/>
      <w:spacing w:val="0"/>
      <w:sz w:val="16"/>
      <w:szCs w:val="24"/>
    </w:rPr>
  </w:style>
  <w:style w:type="paragraph" w:customStyle="1" w:styleId="Clause">
    <w:name w:val="Clause"/>
    <w:basedOn w:val="Normal"/>
    <w:rsid w:val="007D678E"/>
    <w:pPr>
      <w:tabs>
        <w:tab w:val="left" w:pos="851"/>
      </w:tabs>
      <w:spacing w:before="240" w:after="120"/>
      <w:ind w:left="709" w:hanging="709"/>
    </w:pPr>
    <w:rPr>
      <w:rFonts w:ascii="Arial" w:eastAsia="Times New Roman" w:hAnsi="Arial"/>
      <w:spacing w:val="0"/>
      <w:sz w:val="20"/>
      <w:szCs w:val="24"/>
    </w:rPr>
  </w:style>
  <w:style w:type="paragraph" w:styleId="Revision">
    <w:name w:val="Revision"/>
    <w:hidden/>
    <w:uiPriority w:val="99"/>
    <w:semiHidden/>
    <w:rsid w:val="00FF0D7C"/>
    <w:rPr>
      <w:rFonts w:asciiTheme="minorHAnsi" w:hAnsiTheme="minorHAnsi"/>
      <w:spacing w:val="-1"/>
      <w:sz w:val="22"/>
    </w:rPr>
  </w:style>
  <w:style w:type="paragraph" w:customStyle="1" w:styleId="Definitionlist">
    <w:name w:val="Definition list"/>
    <w:basedOn w:val="Normal"/>
    <w:qFormat/>
    <w:rsid w:val="00B651FC"/>
    <w:pPr>
      <w:spacing w:before="120" w:after="120"/>
      <w:ind w:left="720" w:hanging="720"/>
    </w:pPr>
    <w:rPr>
      <w:rFonts w:ascii="Arial" w:eastAsia="Times New Roman" w:hAnsi="Arial"/>
      <w:spacing w:val="0"/>
      <w:sz w:val="20"/>
      <w:szCs w:val="24"/>
    </w:rPr>
  </w:style>
  <w:style w:type="paragraph" w:customStyle="1" w:styleId="Definition">
    <w:name w:val="Definition"/>
    <w:basedOn w:val="Normal"/>
    <w:qFormat/>
    <w:rsid w:val="00B651FC"/>
    <w:pPr>
      <w:spacing w:before="120" w:after="120"/>
    </w:pPr>
    <w:rPr>
      <w:rFonts w:ascii="Arial" w:eastAsia="Times New Roman" w:hAnsi="Arial"/>
      <w:spacing w:val="0"/>
      <w:sz w:val="20"/>
      <w:szCs w:val="24"/>
    </w:rPr>
  </w:style>
  <w:style w:type="paragraph" w:customStyle="1" w:styleId="Definition-Introduced">
    <w:name w:val="Definition - Introduced"/>
    <w:basedOn w:val="Normal"/>
    <w:qFormat/>
    <w:rsid w:val="00B651FC"/>
    <w:pPr>
      <w:overflowPunct w:val="0"/>
      <w:autoSpaceDE w:val="0"/>
      <w:autoSpaceDN w:val="0"/>
      <w:adjustRightInd w:val="0"/>
      <w:spacing w:after="120"/>
      <w:textAlignment w:val="baseline"/>
    </w:pPr>
    <w:rPr>
      <w:rFonts w:ascii="Arial" w:eastAsia="Times New Roman" w:hAnsi="Arial"/>
      <w:bCs/>
      <w:iCs/>
      <w:spacing w:val="0"/>
      <w:sz w:val="16"/>
    </w:rPr>
  </w:style>
  <w:style w:type="paragraph" w:customStyle="1" w:styleId="Definitionlist2">
    <w:name w:val="Definition list 2"/>
    <w:basedOn w:val="Definitionlist"/>
    <w:qFormat/>
    <w:rsid w:val="00B651FC"/>
    <w:pPr>
      <w:ind w:left="1287" w:hanging="567"/>
    </w:pPr>
  </w:style>
  <w:style w:type="paragraph" w:customStyle="1" w:styleId="Definitionnote2">
    <w:name w:val="Definition note 2"/>
    <w:basedOn w:val="Normal"/>
    <w:qFormat/>
    <w:rsid w:val="00B651FC"/>
    <w:pPr>
      <w:spacing w:before="120" w:after="120"/>
      <w:ind w:left="720"/>
    </w:pPr>
    <w:rPr>
      <w:rFonts w:ascii="Arial" w:eastAsia="Times New Roman" w:hAnsi="Arial"/>
      <w:spacing w:val="0"/>
      <w:sz w:val="16"/>
      <w:szCs w:val="24"/>
    </w:rPr>
  </w:style>
  <w:style w:type="paragraph" w:customStyle="1" w:styleId="Definitionnote">
    <w:name w:val="Definition note"/>
    <w:basedOn w:val="Note1"/>
    <w:qFormat/>
    <w:rsid w:val="00B651FC"/>
    <w:pPr>
      <w:ind w:left="0"/>
    </w:pPr>
  </w:style>
  <w:style w:type="paragraph" w:customStyle="1" w:styleId="Clause2">
    <w:name w:val="Clause 2"/>
    <w:basedOn w:val="Clause"/>
    <w:qFormat/>
    <w:rsid w:val="00602645"/>
    <w:pPr>
      <w:tabs>
        <w:tab w:val="clear" w:pos="851"/>
      </w:tabs>
      <w:ind w:left="1418"/>
    </w:pPr>
  </w:style>
  <w:style w:type="paragraph" w:customStyle="1" w:styleId="Bullet2">
    <w:name w:val="Bullet 2"/>
    <w:basedOn w:val="Normal"/>
    <w:qFormat/>
    <w:rsid w:val="00176232"/>
    <w:pPr>
      <w:spacing w:before="120" w:after="120"/>
      <w:ind w:left="2127" w:hanging="709"/>
    </w:pPr>
    <w:rPr>
      <w:rFonts w:ascii="Arial" w:eastAsia="Times New Roman" w:hAnsi="Arial"/>
      <w:spacing w:val="0"/>
      <w:sz w:val="20"/>
      <w:szCs w:val="24"/>
    </w:rPr>
  </w:style>
  <w:style w:type="paragraph" w:customStyle="1" w:styleId="Normal-indent1">
    <w:name w:val="Normal - indent 1"/>
    <w:basedOn w:val="Normal"/>
    <w:link w:val="Normal-indent1Char"/>
    <w:rsid w:val="00EE5423"/>
    <w:pPr>
      <w:tabs>
        <w:tab w:val="left" w:pos="1701"/>
      </w:tabs>
      <w:spacing w:before="120" w:after="120"/>
      <w:ind w:left="851"/>
    </w:pPr>
    <w:rPr>
      <w:rFonts w:ascii="Arial" w:eastAsia="Times New Roman" w:hAnsi="Arial"/>
      <w:spacing w:val="0"/>
      <w:szCs w:val="24"/>
    </w:rPr>
  </w:style>
  <w:style w:type="character" w:customStyle="1" w:styleId="Normal-indent1Char">
    <w:name w:val="Normal - indent 1 Char"/>
    <w:link w:val="Normal-indent1"/>
    <w:rsid w:val="00EE5423"/>
    <w:rPr>
      <w:rFonts w:ascii="Arial" w:eastAsia="Times New Roman" w:hAnsi="Arial"/>
      <w:sz w:val="22"/>
      <w:szCs w:val="24"/>
    </w:rPr>
  </w:style>
  <w:style w:type="numbering" w:customStyle="1" w:styleId="Style1">
    <w:name w:val="Style1"/>
    <w:uiPriority w:val="99"/>
    <w:rsid w:val="00582F0C"/>
    <w:pPr>
      <w:numPr>
        <w:numId w:val="15"/>
      </w:numPr>
    </w:pPr>
  </w:style>
  <w:style w:type="paragraph" w:customStyle="1" w:styleId="BoldHeading">
    <w:name w:val="Bold Heading"/>
    <w:basedOn w:val="Normal"/>
    <w:rsid w:val="00AB78E6"/>
    <w:pPr>
      <w:keepNext/>
      <w:tabs>
        <w:tab w:val="left" w:pos="1276"/>
      </w:tabs>
      <w:spacing w:before="240" w:after="120"/>
    </w:pPr>
    <w:rPr>
      <w:rFonts w:ascii="Arial" w:eastAsia="Times New Roman" w:hAnsi="Arial"/>
      <w:b/>
      <w:spacing w:val="0"/>
      <w:szCs w:val="24"/>
    </w:rPr>
  </w:style>
  <w:style w:type="paragraph" w:customStyle="1" w:styleId="List4-">
    <w:name w:val="List 4-"/>
    <w:basedOn w:val="List3"/>
    <w:qFormat/>
    <w:rsid w:val="00AF226F"/>
    <w:pPr>
      <w:tabs>
        <w:tab w:val="left" w:pos="3686"/>
      </w:tabs>
      <w:spacing w:before="120" w:after="120"/>
      <w:ind w:left="3686" w:hanging="567"/>
      <w:contextualSpacing w:val="0"/>
    </w:pPr>
    <w:rPr>
      <w:rFonts w:ascii="Arial" w:eastAsia="Times New Roman" w:hAnsi="Arial"/>
      <w:spacing w:val="0"/>
      <w:szCs w:val="24"/>
    </w:rPr>
  </w:style>
  <w:style w:type="paragraph" w:customStyle="1" w:styleId="Introduced">
    <w:name w:val="Introduced"/>
    <w:basedOn w:val="List"/>
    <w:rsid w:val="00AF226F"/>
    <w:pPr>
      <w:overflowPunct w:val="0"/>
      <w:autoSpaceDE w:val="0"/>
      <w:autoSpaceDN w:val="0"/>
      <w:adjustRightInd w:val="0"/>
      <w:spacing w:after="240"/>
      <w:ind w:left="851" w:firstLine="0"/>
      <w:contextualSpacing w:val="0"/>
      <w:textAlignment w:val="baseline"/>
    </w:pPr>
    <w:rPr>
      <w:rFonts w:ascii="Arial" w:eastAsia="Times New Roman" w:hAnsi="Arial"/>
      <w:bCs/>
      <w:iCs/>
      <w:spacing w:val="0"/>
      <w:sz w:val="16"/>
    </w:rPr>
  </w:style>
  <w:style w:type="table" w:styleId="GridTable4-Accent2">
    <w:name w:val="Grid Table 4 Accent 2"/>
    <w:basedOn w:val="TableNormal"/>
    <w:uiPriority w:val="49"/>
    <w:rsid w:val="009545F2"/>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paragraph" w:customStyle="1" w:styleId="tabletext0">
    <w:name w:val="tabletext"/>
    <w:basedOn w:val="Normal"/>
    <w:rsid w:val="0024680E"/>
    <w:pPr>
      <w:spacing w:before="100" w:beforeAutospacing="1" w:after="100" w:afterAutospacing="1"/>
    </w:pPr>
    <w:rPr>
      <w:rFonts w:ascii="Times New Roman" w:eastAsia="Times New Roman" w:hAnsi="Times New Roman"/>
      <w:spacing w:val="0"/>
      <w:sz w:val="24"/>
      <w:szCs w:val="24"/>
      <w:lang w:eastAsia="en-AU"/>
    </w:rPr>
  </w:style>
  <w:style w:type="paragraph" w:customStyle="1" w:styleId="definition0">
    <w:name w:val="definition"/>
    <w:basedOn w:val="Normal"/>
    <w:rsid w:val="00946F36"/>
    <w:pPr>
      <w:spacing w:before="100" w:beforeAutospacing="1" w:after="100" w:afterAutospacing="1"/>
    </w:pPr>
    <w:rPr>
      <w:rFonts w:ascii="Times New Roman" w:eastAsia="Times New Roman" w:hAnsi="Times New Roman"/>
      <w:spacing w:val="0"/>
      <w:sz w:val="24"/>
      <w:szCs w:val="24"/>
      <w:lang w:eastAsia="en-AU"/>
    </w:rPr>
  </w:style>
  <w:style w:type="paragraph" w:customStyle="1" w:styleId="paragraph">
    <w:name w:val="paragraph"/>
    <w:basedOn w:val="Normal"/>
    <w:rsid w:val="00946F36"/>
    <w:pPr>
      <w:spacing w:before="100" w:beforeAutospacing="1" w:after="100" w:afterAutospacing="1"/>
    </w:pPr>
    <w:rPr>
      <w:rFonts w:ascii="Times New Roman" w:eastAsia="Times New Roman" w:hAnsi="Times New Roman"/>
      <w:spacing w:val="0"/>
      <w:sz w:val="24"/>
      <w:szCs w:val="24"/>
      <w:lang w:eastAsia="en-AU"/>
    </w:rPr>
  </w:style>
  <w:style w:type="paragraph" w:customStyle="1" w:styleId="paragraphsub">
    <w:name w:val="paragraphsub"/>
    <w:basedOn w:val="Normal"/>
    <w:rsid w:val="00946F36"/>
    <w:pPr>
      <w:spacing w:before="100" w:beforeAutospacing="1" w:after="100" w:afterAutospacing="1"/>
    </w:pPr>
    <w:rPr>
      <w:rFonts w:ascii="Times New Roman" w:eastAsia="Times New Roman" w:hAnsi="Times New Roman"/>
      <w:spacing w:val="0"/>
      <w:sz w:val="24"/>
      <w:szCs w:val="24"/>
      <w:lang w:eastAsia="en-AU"/>
    </w:rPr>
  </w:style>
  <w:style w:type="paragraph" w:customStyle="1" w:styleId="Default">
    <w:name w:val="Default"/>
    <w:rsid w:val="00CF79E7"/>
    <w:pPr>
      <w:autoSpaceDE w:val="0"/>
      <w:autoSpaceDN w:val="0"/>
      <w:adjustRightInd w:val="0"/>
    </w:pPr>
    <w:rPr>
      <w:rFonts w:ascii="Arial Narrow" w:hAnsi="Arial Narrow" w:cs="Arial Narrow"/>
      <w:color w:val="000000"/>
      <w:sz w:val="24"/>
      <w:szCs w:val="24"/>
    </w:rPr>
  </w:style>
  <w:style w:type="paragraph" w:customStyle="1" w:styleId="ProcHeading">
    <w:name w:val="Proc Heading"/>
    <w:basedOn w:val="Normal"/>
    <w:rsid w:val="00C75ABE"/>
    <w:pPr>
      <w:keepNext/>
      <w:tabs>
        <w:tab w:val="left" w:pos="851"/>
      </w:tabs>
      <w:spacing w:before="240" w:after="120"/>
    </w:pPr>
    <w:rPr>
      <w:rFonts w:ascii="Arial" w:eastAsia="Times New Roman" w:hAnsi="Arial"/>
      <w:spacing w:val="0"/>
      <w:szCs w:val="24"/>
      <w:u w:val="single"/>
    </w:rPr>
  </w:style>
  <w:style w:type="paragraph" w:customStyle="1" w:styleId="Condition">
    <w:name w:val="Condition"/>
    <w:basedOn w:val="Clause2"/>
    <w:qFormat/>
    <w:rsid w:val="001A3C29"/>
    <w:pPr>
      <w:ind w:left="2552" w:hanging="1843"/>
    </w:pPr>
  </w:style>
  <w:style w:type="paragraph" w:customStyle="1" w:styleId="BulletCond">
    <w:name w:val="Bullet Cond"/>
    <w:basedOn w:val="Normal"/>
    <w:qFormat/>
    <w:rsid w:val="001A3C29"/>
    <w:pPr>
      <w:spacing w:before="120" w:after="120"/>
      <w:ind w:left="3119" w:hanging="567"/>
    </w:pPr>
    <w:rPr>
      <w:rFonts w:ascii="Arial" w:eastAsia="Times New Roman" w:hAnsi="Arial"/>
      <w:spacing w:val="0"/>
      <w:sz w:val="20"/>
      <w:szCs w:val="24"/>
    </w:rPr>
  </w:style>
  <w:style w:type="paragraph" w:customStyle="1" w:styleId="NumberingLevel3">
    <w:name w:val="Numbering Level 3"/>
    <w:basedOn w:val="Normal"/>
    <w:rsid w:val="00C80BC6"/>
    <w:pPr>
      <w:numPr>
        <w:numId w:val="17"/>
      </w:numPr>
    </w:pPr>
  </w:style>
  <w:style w:type="paragraph" w:customStyle="1" w:styleId="lista0">
    <w:name w:val="lista0"/>
    <w:basedOn w:val="Normal"/>
    <w:rsid w:val="00281072"/>
    <w:pPr>
      <w:spacing w:before="100" w:beforeAutospacing="1" w:after="100" w:afterAutospacing="1"/>
    </w:pPr>
    <w:rPr>
      <w:rFonts w:ascii="Times New Roman" w:eastAsia="Times New Roman" w:hAnsi="Times New Roman"/>
      <w:spacing w:val="0"/>
      <w:sz w:val="24"/>
      <w:szCs w:val="24"/>
      <w:lang w:eastAsia="en-AU"/>
    </w:rPr>
  </w:style>
  <w:style w:type="paragraph" w:customStyle="1" w:styleId="listb">
    <w:name w:val="listb"/>
    <w:basedOn w:val="Normal"/>
    <w:rsid w:val="00281072"/>
    <w:pPr>
      <w:spacing w:before="100" w:beforeAutospacing="1" w:after="100" w:afterAutospacing="1"/>
    </w:pPr>
    <w:rPr>
      <w:rFonts w:ascii="Times New Roman" w:eastAsia="Times New Roman" w:hAnsi="Times New Roman"/>
      <w:spacing w:val="0"/>
      <w:sz w:val="24"/>
      <w:szCs w:val="24"/>
      <w:lang w:eastAsia="en-AU"/>
    </w:rPr>
  </w:style>
  <w:style w:type="paragraph" w:customStyle="1" w:styleId="listc">
    <w:name w:val="listc"/>
    <w:basedOn w:val="Normal"/>
    <w:rsid w:val="00281072"/>
    <w:pPr>
      <w:spacing w:before="100" w:beforeAutospacing="1" w:after="100" w:afterAutospacing="1"/>
    </w:pPr>
    <w:rPr>
      <w:rFonts w:ascii="Times New Roman" w:eastAsia="Times New Roman" w:hAnsi="Times New Roman"/>
      <w:spacing w:val="0"/>
      <w:sz w:val="24"/>
      <w:szCs w:val="24"/>
      <w:lang w:eastAsia="en-AU"/>
    </w:rPr>
  </w:style>
  <w:style w:type="paragraph" w:customStyle="1" w:styleId="listd">
    <w:name w:val="listd"/>
    <w:basedOn w:val="Normal"/>
    <w:rsid w:val="00281072"/>
    <w:pPr>
      <w:spacing w:before="100" w:beforeAutospacing="1" w:after="100" w:afterAutospacing="1"/>
    </w:pPr>
    <w:rPr>
      <w:rFonts w:ascii="Times New Roman" w:eastAsia="Times New Roman" w:hAnsi="Times New Roman"/>
      <w:spacing w:val="0"/>
      <w:sz w:val="24"/>
      <w:szCs w:val="24"/>
      <w:lang w:eastAsia="en-AU"/>
    </w:rPr>
  </w:style>
  <w:style w:type="paragraph" w:customStyle="1" w:styleId="subpara">
    <w:name w:val="subpara"/>
    <w:basedOn w:val="Normal"/>
    <w:rsid w:val="00383B78"/>
    <w:pPr>
      <w:spacing w:before="100" w:beforeAutospacing="1" w:after="100" w:afterAutospacing="1"/>
    </w:pPr>
    <w:rPr>
      <w:rFonts w:ascii="Times New Roman" w:eastAsia="Times New Roman" w:hAnsi="Times New Roman"/>
      <w:spacing w:val="0"/>
      <w:sz w:val="24"/>
      <w:szCs w:val="24"/>
      <w:lang w:eastAsia="en-AU"/>
    </w:rPr>
  </w:style>
  <w:style w:type="paragraph" w:customStyle="1" w:styleId="Bullet1">
    <w:name w:val="Bullet 1"/>
    <w:basedOn w:val="Clause"/>
    <w:qFormat/>
    <w:rsid w:val="009E3A5E"/>
    <w:pPr>
      <w:tabs>
        <w:tab w:val="clear" w:pos="851"/>
      </w:tabs>
      <w:spacing w:before="120"/>
      <w:ind w:left="1418"/>
    </w:pPr>
  </w:style>
  <w:style w:type="paragraph" w:customStyle="1" w:styleId="Pa1">
    <w:name w:val="Pa1"/>
    <w:basedOn w:val="Default"/>
    <w:next w:val="Default"/>
    <w:uiPriority w:val="99"/>
    <w:rsid w:val="00492F91"/>
    <w:pPr>
      <w:spacing w:line="161" w:lineRule="atLeast"/>
    </w:pPr>
    <w:rPr>
      <w:rFonts w:ascii="Eurostile LT" w:hAnsi="Eurostile LT" w:cs="Times New Roman"/>
      <w:color w:val="auto"/>
    </w:rPr>
  </w:style>
  <w:style w:type="character" w:customStyle="1" w:styleId="UnresolvedMention">
    <w:name w:val="Unresolved Mention"/>
    <w:basedOn w:val="DefaultParagraphFont"/>
    <w:uiPriority w:val="99"/>
    <w:semiHidden/>
    <w:unhideWhenUsed/>
    <w:rsid w:val="0028614F"/>
    <w:rPr>
      <w:color w:val="605E5C"/>
      <w:shd w:val="clear" w:color="auto" w:fill="E1DFDD"/>
    </w:rPr>
  </w:style>
  <w:style w:type="character" w:customStyle="1" w:styleId="Heading5Char">
    <w:name w:val="Heading 5 Char"/>
    <w:basedOn w:val="DefaultParagraphFont"/>
    <w:link w:val="Heading5"/>
    <w:uiPriority w:val="1"/>
    <w:rsid w:val="006312D1"/>
    <w:rPr>
      <w:rFonts w:asciiTheme="majorHAnsi" w:hAnsiTheme="majorHAnsi"/>
      <w:b/>
      <w:bCs/>
      <w:iCs/>
      <w:color w:val="A7A9AC"/>
      <w:spacing w:val="-1"/>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5051">
      <w:bodyDiv w:val="1"/>
      <w:marLeft w:val="0"/>
      <w:marRight w:val="0"/>
      <w:marTop w:val="0"/>
      <w:marBottom w:val="0"/>
      <w:divBdr>
        <w:top w:val="none" w:sz="0" w:space="0" w:color="auto"/>
        <w:left w:val="none" w:sz="0" w:space="0" w:color="auto"/>
        <w:bottom w:val="none" w:sz="0" w:space="0" w:color="auto"/>
        <w:right w:val="none" w:sz="0" w:space="0" w:color="auto"/>
      </w:divBdr>
    </w:div>
    <w:div w:id="116726651">
      <w:bodyDiv w:val="1"/>
      <w:marLeft w:val="0"/>
      <w:marRight w:val="0"/>
      <w:marTop w:val="0"/>
      <w:marBottom w:val="0"/>
      <w:divBdr>
        <w:top w:val="none" w:sz="0" w:space="0" w:color="auto"/>
        <w:left w:val="none" w:sz="0" w:space="0" w:color="auto"/>
        <w:bottom w:val="none" w:sz="0" w:space="0" w:color="auto"/>
        <w:right w:val="none" w:sz="0" w:space="0" w:color="auto"/>
      </w:divBdr>
    </w:div>
    <w:div w:id="120153544">
      <w:bodyDiv w:val="1"/>
      <w:marLeft w:val="0"/>
      <w:marRight w:val="0"/>
      <w:marTop w:val="0"/>
      <w:marBottom w:val="0"/>
      <w:divBdr>
        <w:top w:val="none" w:sz="0" w:space="0" w:color="auto"/>
        <w:left w:val="none" w:sz="0" w:space="0" w:color="auto"/>
        <w:bottom w:val="none" w:sz="0" w:space="0" w:color="auto"/>
        <w:right w:val="none" w:sz="0" w:space="0" w:color="auto"/>
      </w:divBdr>
    </w:div>
    <w:div w:id="132064909">
      <w:bodyDiv w:val="1"/>
      <w:marLeft w:val="0"/>
      <w:marRight w:val="0"/>
      <w:marTop w:val="0"/>
      <w:marBottom w:val="0"/>
      <w:divBdr>
        <w:top w:val="none" w:sz="0" w:space="0" w:color="auto"/>
        <w:left w:val="none" w:sz="0" w:space="0" w:color="auto"/>
        <w:bottom w:val="none" w:sz="0" w:space="0" w:color="auto"/>
        <w:right w:val="none" w:sz="0" w:space="0" w:color="auto"/>
      </w:divBdr>
    </w:div>
    <w:div w:id="165171481">
      <w:bodyDiv w:val="1"/>
      <w:marLeft w:val="0"/>
      <w:marRight w:val="0"/>
      <w:marTop w:val="0"/>
      <w:marBottom w:val="0"/>
      <w:divBdr>
        <w:top w:val="none" w:sz="0" w:space="0" w:color="auto"/>
        <w:left w:val="none" w:sz="0" w:space="0" w:color="auto"/>
        <w:bottom w:val="none" w:sz="0" w:space="0" w:color="auto"/>
        <w:right w:val="none" w:sz="0" w:space="0" w:color="auto"/>
      </w:divBdr>
    </w:div>
    <w:div w:id="176964006">
      <w:bodyDiv w:val="1"/>
      <w:marLeft w:val="0"/>
      <w:marRight w:val="0"/>
      <w:marTop w:val="0"/>
      <w:marBottom w:val="0"/>
      <w:divBdr>
        <w:top w:val="none" w:sz="0" w:space="0" w:color="auto"/>
        <w:left w:val="none" w:sz="0" w:space="0" w:color="auto"/>
        <w:bottom w:val="none" w:sz="0" w:space="0" w:color="auto"/>
        <w:right w:val="none" w:sz="0" w:space="0" w:color="auto"/>
      </w:divBdr>
    </w:div>
    <w:div w:id="255479238">
      <w:bodyDiv w:val="1"/>
      <w:marLeft w:val="0"/>
      <w:marRight w:val="0"/>
      <w:marTop w:val="0"/>
      <w:marBottom w:val="0"/>
      <w:divBdr>
        <w:top w:val="none" w:sz="0" w:space="0" w:color="auto"/>
        <w:left w:val="none" w:sz="0" w:space="0" w:color="auto"/>
        <w:bottom w:val="none" w:sz="0" w:space="0" w:color="auto"/>
        <w:right w:val="none" w:sz="0" w:space="0" w:color="auto"/>
      </w:divBdr>
    </w:div>
    <w:div w:id="274335598">
      <w:bodyDiv w:val="1"/>
      <w:marLeft w:val="0"/>
      <w:marRight w:val="0"/>
      <w:marTop w:val="0"/>
      <w:marBottom w:val="0"/>
      <w:divBdr>
        <w:top w:val="none" w:sz="0" w:space="0" w:color="auto"/>
        <w:left w:val="none" w:sz="0" w:space="0" w:color="auto"/>
        <w:bottom w:val="none" w:sz="0" w:space="0" w:color="auto"/>
        <w:right w:val="none" w:sz="0" w:space="0" w:color="auto"/>
      </w:divBdr>
    </w:div>
    <w:div w:id="343679029">
      <w:bodyDiv w:val="1"/>
      <w:marLeft w:val="0"/>
      <w:marRight w:val="0"/>
      <w:marTop w:val="0"/>
      <w:marBottom w:val="0"/>
      <w:divBdr>
        <w:top w:val="none" w:sz="0" w:space="0" w:color="auto"/>
        <w:left w:val="none" w:sz="0" w:space="0" w:color="auto"/>
        <w:bottom w:val="none" w:sz="0" w:space="0" w:color="auto"/>
        <w:right w:val="none" w:sz="0" w:space="0" w:color="auto"/>
      </w:divBdr>
    </w:div>
    <w:div w:id="355741133">
      <w:bodyDiv w:val="1"/>
      <w:marLeft w:val="0"/>
      <w:marRight w:val="0"/>
      <w:marTop w:val="0"/>
      <w:marBottom w:val="0"/>
      <w:divBdr>
        <w:top w:val="none" w:sz="0" w:space="0" w:color="auto"/>
        <w:left w:val="none" w:sz="0" w:space="0" w:color="auto"/>
        <w:bottom w:val="none" w:sz="0" w:space="0" w:color="auto"/>
        <w:right w:val="none" w:sz="0" w:space="0" w:color="auto"/>
      </w:divBdr>
    </w:div>
    <w:div w:id="408507623">
      <w:bodyDiv w:val="1"/>
      <w:marLeft w:val="0"/>
      <w:marRight w:val="0"/>
      <w:marTop w:val="0"/>
      <w:marBottom w:val="0"/>
      <w:divBdr>
        <w:top w:val="none" w:sz="0" w:space="0" w:color="auto"/>
        <w:left w:val="none" w:sz="0" w:space="0" w:color="auto"/>
        <w:bottom w:val="none" w:sz="0" w:space="0" w:color="auto"/>
        <w:right w:val="none" w:sz="0" w:space="0" w:color="auto"/>
      </w:divBdr>
    </w:div>
    <w:div w:id="434256202">
      <w:bodyDiv w:val="1"/>
      <w:marLeft w:val="0"/>
      <w:marRight w:val="0"/>
      <w:marTop w:val="0"/>
      <w:marBottom w:val="0"/>
      <w:divBdr>
        <w:top w:val="none" w:sz="0" w:space="0" w:color="auto"/>
        <w:left w:val="none" w:sz="0" w:space="0" w:color="auto"/>
        <w:bottom w:val="none" w:sz="0" w:space="0" w:color="auto"/>
        <w:right w:val="none" w:sz="0" w:space="0" w:color="auto"/>
      </w:divBdr>
    </w:div>
    <w:div w:id="435759783">
      <w:bodyDiv w:val="1"/>
      <w:marLeft w:val="0"/>
      <w:marRight w:val="0"/>
      <w:marTop w:val="0"/>
      <w:marBottom w:val="0"/>
      <w:divBdr>
        <w:top w:val="none" w:sz="0" w:space="0" w:color="auto"/>
        <w:left w:val="none" w:sz="0" w:space="0" w:color="auto"/>
        <w:bottom w:val="none" w:sz="0" w:space="0" w:color="auto"/>
        <w:right w:val="none" w:sz="0" w:space="0" w:color="auto"/>
      </w:divBdr>
    </w:div>
    <w:div w:id="491877201">
      <w:bodyDiv w:val="1"/>
      <w:marLeft w:val="0"/>
      <w:marRight w:val="0"/>
      <w:marTop w:val="0"/>
      <w:marBottom w:val="0"/>
      <w:divBdr>
        <w:top w:val="none" w:sz="0" w:space="0" w:color="auto"/>
        <w:left w:val="none" w:sz="0" w:space="0" w:color="auto"/>
        <w:bottom w:val="none" w:sz="0" w:space="0" w:color="auto"/>
        <w:right w:val="none" w:sz="0" w:space="0" w:color="auto"/>
      </w:divBdr>
    </w:div>
    <w:div w:id="497618085">
      <w:bodyDiv w:val="1"/>
      <w:marLeft w:val="0"/>
      <w:marRight w:val="0"/>
      <w:marTop w:val="0"/>
      <w:marBottom w:val="0"/>
      <w:divBdr>
        <w:top w:val="none" w:sz="0" w:space="0" w:color="auto"/>
        <w:left w:val="none" w:sz="0" w:space="0" w:color="auto"/>
        <w:bottom w:val="none" w:sz="0" w:space="0" w:color="auto"/>
        <w:right w:val="none" w:sz="0" w:space="0" w:color="auto"/>
      </w:divBdr>
    </w:div>
    <w:div w:id="562065043">
      <w:bodyDiv w:val="1"/>
      <w:marLeft w:val="0"/>
      <w:marRight w:val="0"/>
      <w:marTop w:val="0"/>
      <w:marBottom w:val="0"/>
      <w:divBdr>
        <w:top w:val="none" w:sz="0" w:space="0" w:color="auto"/>
        <w:left w:val="none" w:sz="0" w:space="0" w:color="auto"/>
        <w:bottom w:val="none" w:sz="0" w:space="0" w:color="auto"/>
        <w:right w:val="none" w:sz="0" w:space="0" w:color="auto"/>
      </w:divBdr>
    </w:div>
    <w:div w:id="593437295">
      <w:bodyDiv w:val="1"/>
      <w:marLeft w:val="0"/>
      <w:marRight w:val="0"/>
      <w:marTop w:val="0"/>
      <w:marBottom w:val="0"/>
      <w:divBdr>
        <w:top w:val="none" w:sz="0" w:space="0" w:color="auto"/>
        <w:left w:val="none" w:sz="0" w:space="0" w:color="auto"/>
        <w:bottom w:val="none" w:sz="0" w:space="0" w:color="auto"/>
        <w:right w:val="none" w:sz="0" w:space="0" w:color="auto"/>
      </w:divBdr>
      <w:divsChild>
        <w:div w:id="1072004873">
          <w:marLeft w:val="274"/>
          <w:marRight w:val="0"/>
          <w:marTop w:val="0"/>
          <w:marBottom w:val="0"/>
          <w:divBdr>
            <w:top w:val="none" w:sz="0" w:space="0" w:color="auto"/>
            <w:left w:val="none" w:sz="0" w:space="0" w:color="auto"/>
            <w:bottom w:val="none" w:sz="0" w:space="0" w:color="auto"/>
            <w:right w:val="none" w:sz="0" w:space="0" w:color="auto"/>
          </w:divBdr>
        </w:div>
        <w:div w:id="1366517333">
          <w:marLeft w:val="274"/>
          <w:marRight w:val="0"/>
          <w:marTop w:val="0"/>
          <w:marBottom w:val="0"/>
          <w:divBdr>
            <w:top w:val="none" w:sz="0" w:space="0" w:color="auto"/>
            <w:left w:val="none" w:sz="0" w:space="0" w:color="auto"/>
            <w:bottom w:val="none" w:sz="0" w:space="0" w:color="auto"/>
            <w:right w:val="none" w:sz="0" w:space="0" w:color="auto"/>
          </w:divBdr>
        </w:div>
        <w:div w:id="1740857946">
          <w:marLeft w:val="274"/>
          <w:marRight w:val="0"/>
          <w:marTop w:val="0"/>
          <w:marBottom w:val="0"/>
          <w:divBdr>
            <w:top w:val="none" w:sz="0" w:space="0" w:color="auto"/>
            <w:left w:val="none" w:sz="0" w:space="0" w:color="auto"/>
            <w:bottom w:val="none" w:sz="0" w:space="0" w:color="auto"/>
            <w:right w:val="none" w:sz="0" w:space="0" w:color="auto"/>
          </w:divBdr>
        </w:div>
      </w:divsChild>
    </w:div>
    <w:div w:id="632180280">
      <w:bodyDiv w:val="1"/>
      <w:marLeft w:val="0"/>
      <w:marRight w:val="0"/>
      <w:marTop w:val="0"/>
      <w:marBottom w:val="0"/>
      <w:divBdr>
        <w:top w:val="none" w:sz="0" w:space="0" w:color="auto"/>
        <w:left w:val="none" w:sz="0" w:space="0" w:color="auto"/>
        <w:bottom w:val="none" w:sz="0" w:space="0" w:color="auto"/>
        <w:right w:val="none" w:sz="0" w:space="0" w:color="auto"/>
      </w:divBdr>
    </w:div>
    <w:div w:id="705910809">
      <w:bodyDiv w:val="1"/>
      <w:marLeft w:val="0"/>
      <w:marRight w:val="0"/>
      <w:marTop w:val="0"/>
      <w:marBottom w:val="0"/>
      <w:divBdr>
        <w:top w:val="none" w:sz="0" w:space="0" w:color="auto"/>
        <w:left w:val="none" w:sz="0" w:space="0" w:color="auto"/>
        <w:bottom w:val="none" w:sz="0" w:space="0" w:color="auto"/>
        <w:right w:val="none" w:sz="0" w:space="0" w:color="auto"/>
      </w:divBdr>
    </w:div>
    <w:div w:id="710153800">
      <w:bodyDiv w:val="1"/>
      <w:marLeft w:val="0"/>
      <w:marRight w:val="0"/>
      <w:marTop w:val="0"/>
      <w:marBottom w:val="0"/>
      <w:divBdr>
        <w:top w:val="none" w:sz="0" w:space="0" w:color="auto"/>
        <w:left w:val="none" w:sz="0" w:space="0" w:color="auto"/>
        <w:bottom w:val="none" w:sz="0" w:space="0" w:color="auto"/>
        <w:right w:val="none" w:sz="0" w:space="0" w:color="auto"/>
      </w:divBdr>
    </w:div>
    <w:div w:id="726807904">
      <w:bodyDiv w:val="1"/>
      <w:marLeft w:val="0"/>
      <w:marRight w:val="0"/>
      <w:marTop w:val="0"/>
      <w:marBottom w:val="0"/>
      <w:divBdr>
        <w:top w:val="none" w:sz="0" w:space="0" w:color="auto"/>
        <w:left w:val="none" w:sz="0" w:space="0" w:color="auto"/>
        <w:bottom w:val="none" w:sz="0" w:space="0" w:color="auto"/>
        <w:right w:val="none" w:sz="0" w:space="0" w:color="auto"/>
      </w:divBdr>
    </w:div>
    <w:div w:id="855002767">
      <w:bodyDiv w:val="1"/>
      <w:marLeft w:val="0"/>
      <w:marRight w:val="0"/>
      <w:marTop w:val="0"/>
      <w:marBottom w:val="0"/>
      <w:divBdr>
        <w:top w:val="none" w:sz="0" w:space="0" w:color="auto"/>
        <w:left w:val="none" w:sz="0" w:space="0" w:color="auto"/>
        <w:bottom w:val="none" w:sz="0" w:space="0" w:color="auto"/>
        <w:right w:val="none" w:sz="0" w:space="0" w:color="auto"/>
      </w:divBdr>
    </w:div>
    <w:div w:id="872619208">
      <w:bodyDiv w:val="1"/>
      <w:marLeft w:val="0"/>
      <w:marRight w:val="0"/>
      <w:marTop w:val="0"/>
      <w:marBottom w:val="0"/>
      <w:divBdr>
        <w:top w:val="none" w:sz="0" w:space="0" w:color="auto"/>
        <w:left w:val="none" w:sz="0" w:space="0" w:color="auto"/>
        <w:bottom w:val="none" w:sz="0" w:space="0" w:color="auto"/>
        <w:right w:val="none" w:sz="0" w:space="0" w:color="auto"/>
      </w:divBdr>
    </w:div>
    <w:div w:id="1035499303">
      <w:bodyDiv w:val="1"/>
      <w:marLeft w:val="0"/>
      <w:marRight w:val="0"/>
      <w:marTop w:val="0"/>
      <w:marBottom w:val="0"/>
      <w:divBdr>
        <w:top w:val="none" w:sz="0" w:space="0" w:color="auto"/>
        <w:left w:val="none" w:sz="0" w:space="0" w:color="auto"/>
        <w:bottom w:val="none" w:sz="0" w:space="0" w:color="auto"/>
        <w:right w:val="none" w:sz="0" w:space="0" w:color="auto"/>
      </w:divBdr>
    </w:div>
    <w:div w:id="1088692813">
      <w:bodyDiv w:val="1"/>
      <w:marLeft w:val="0"/>
      <w:marRight w:val="0"/>
      <w:marTop w:val="0"/>
      <w:marBottom w:val="0"/>
      <w:divBdr>
        <w:top w:val="none" w:sz="0" w:space="0" w:color="auto"/>
        <w:left w:val="none" w:sz="0" w:space="0" w:color="auto"/>
        <w:bottom w:val="none" w:sz="0" w:space="0" w:color="auto"/>
        <w:right w:val="none" w:sz="0" w:space="0" w:color="auto"/>
      </w:divBdr>
    </w:div>
    <w:div w:id="1121680171">
      <w:bodyDiv w:val="1"/>
      <w:marLeft w:val="0"/>
      <w:marRight w:val="0"/>
      <w:marTop w:val="0"/>
      <w:marBottom w:val="0"/>
      <w:divBdr>
        <w:top w:val="none" w:sz="0" w:space="0" w:color="auto"/>
        <w:left w:val="none" w:sz="0" w:space="0" w:color="auto"/>
        <w:bottom w:val="none" w:sz="0" w:space="0" w:color="auto"/>
        <w:right w:val="none" w:sz="0" w:space="0" w:color="auto"/>
      </w:divBdr>
    </w:div>
    <w:div w:id="1123840291">
      <w:bodyDiv w:val="1"/>
      <w:marLeft w:val="0"/>
      <w:marRight w:val="0"/>
      <w:marTop w:val="0"/>
      <w:marBottom w:val="0"/>
      <w:divBdr>
        <w:top w:val="none" w:sz="0" w:space="0" w:color="auto"/>
        <w:left w:val="none" w:sz="0" w:space="0" w:color="auto"/>
        <w:bottom w:val="none" w:sz="0" w:space="0" w:color="auto"/>
        <w:right w:val="none" w:sz="0" w:space="0" w:color="auto"/>
      </w:divBdr>
    </w:div>
    <w:div w:id="1133333943">
      <w:bodyDiv w:val="1"/>
      <w:marLeft w:val="0"/>
      <w:marRight w:val="0"/>
      <w:marTop w:val="0"/>
      <w:marBottom w:val="0"/>
      <w:divBdr>
        <w:top w:val="none" w:sz="0" w:space="0" w:color="auto"/>
        <w:left w:val="none" w:sz="0" w:space="0" w:color="auto"/>
        <w:bottom w:val="none" w:sz="0" w:space="0" w:color="auto"/>
        <w:right w:val="none" w:sz="0" w:space="0" w:color="auto"/>
      </w:divBdr>
    </w:div>
    <w:div w:id="1199586611">
      <w:bodyDiv w:val="1"/>
      <w:marLeft w:val="0"/>
      <w:marRight w:val="0"/>
      <w:marTop w:val="0"/>
      <w:marBottom w:val="0"/>
      <w:divBdr>
        <w:top w:val="none" w:sz="0" w:space="0" w:color="auto"/>
        <w:left w:val="none" w:sz="0" w:space="0" w:color="auto"/>
        <w:bottom w:val="none" w:sz="0" w:space="0" w:color="auto"/>
        <w:right w:val="none" w:sz="0" w:space="0" w:color="auto"/>
      </w:divBdr>
    </w:div>
    <w:div w:id="1216086277">
      <w:bodyDiv w:val="1"/>
      <w:marLeft w:val="0"/>
      <w:marRight w:val="0"/>
      <w:marTop w:val="0"/>
      <w:marBottom w:val="0"/>
      <w:divBdr>
        <w:top w:val="none" w:sz="0" w:space="0" w:color="auto"/>
        <w:left w:val="none" w:sz="0" w:space="0" w:color="auto"/>
        <w:bottom w:val="none" w:sz="0" w:space="0" w:color="auto"/>
        <w:right w:val="none" w:sz="0" w:space="0" w:color="auto"/>
      </w:divBdr>
    </w:div>
    <w:div w:id="1229925075">
      <w:bodyDiv w:val="1"/>
      <w:marLeft w:val="0"/>
      <w:marRight w:val="0"/>
      <w:marTop w:val="0"/>
      <w:marBottom w:val="0"/>
      <w:divBdr>
        <w:top w:val="none" w:sz="0" w:space="0" w:color="auto"/>
        <w:left w:val="none" w:sz="0" w:space="0" w:color="auto"/>
        <w:bottom w:val="none" w:sz="0" w:space="0" w:color="auto"/>
        <w:right w:val="none" w:sz="0" w:space="0" w:color="auto"/>
      </w:divBdr>
    </w:div>
    <w:div w:id="1244292602">
      <w:bodyDiv w:val="1"/>
      <w:marLeft w:val="0"/>
      <w:marRight w:val="0"/>
      <w:marTop w:val="0"/>
      <w:marBottom w:val="0"/>
      <w:divBdr>
        <w:top w:val="none" w:sz="0" w:space="0" w:color="auto"/>
        <w:left w:val="none" w:sz="0" w:space="0" w:color="auto"/>
        <w:bottom w:val="none" w:sz="0" w:space="0" w:color="auto"/>
        <w:right w:val="none" w:sz="0" w:space="0" w:color="auto"/>
      </w:divBdr>
    </w:div>
    <w:div w:id="1273518754">
      <w:bodyDiv w:val="1"/>
      <w:marLeft w:val="0"/>
      <w:marRight w:val="0"/>
      <w:marTop w:val="0"/>
      <w:marBottom w:val="0"/>
      <w:divBdr>
        <w:top w:val="none" w:sz="0" w:space="0" w:color="auto"/>
        <w:left w:val="none" w:sz="0" w:space="0" w:color="auto"/>
        <w:bottom w:val="none" w:sz="0" w:space="0" w:color="auto"/>
        <w:right w:val="none" w:sz="0" w:space="0" w:color="auto"/>
      </w:divBdr>
    </w:div>
    <w:div w:id="1317763074">
      <w:bodyDiv w:val="1"/>
      <w:marLeft w:val="0"/>
      <w:marRight w:val="0"/>
      <w:marTop w:val="0"/>
      <w:marBottom w:val="0"/>
      <w:divBdr>
        <w:top w:val="none" w:sz="0" w:space="0" w:color="auto"/>
        <w:left w:val="none" w:sz="0" w:space="0" w:color="auto"/>
        <w:bottom w:val="none" w:sz="0" w:space="0" w:color="auto"/>
        <w:right w:val="none" w:sz="0" w:space="0" w:color="auto"/>
      </w:divBdr>
    </w:div>
    <w:div w:id="1326393102">
      <w:bodyDiv w:val="1"/>
      <w:marLeft w:val="0"/>
      <w:marRight w:val="0"/>
      <w:marTop w:val="0"/>
      <w:marBottom w:val="0"/>
      <w:divBdr>
        <w:top w:val="none" w:sz="0" w:space="0" w:color="auto"/>
        <w:left w:val="none" w:sz="0" w:space="0" w:color="auto"/>
        <w:bottom w:val="none" w:sz="0" w:space="0" w:color="auto"/>
        <w:right w:val="none" w:sz="0" w:space="0" w:color="auto"/>
      </w:divBdr>
    </w:div>
    <w:div w:id="1332490847">
      <w:bodyDiv w:val="1"/>
      <w:marLeft w:val="0"/>
      <w:marRight w:val="0"/>
      <w:marTop w:val="0"/>
      <w:marBottom w:val="0"/>
      <w:divBdr>
        <w:top w:val="none" w:sz="0" w:space="0" w:color="auto"/>
        <w:left w:val="none" w:sz="0" w:space="0" w:color="auto"/>
        <w:bottom w:val="none" w:sz="0" w:space="0" w:color="auto"/>
        <w:right w:val="none" w:sz="0" w:space="0" w:color="auto"/>
      </w:divBdr>
    </w:div>
    <w:div w:id="1345354788">
      <w:bodyDiv w:val="1"/>
      <w:marLeft w:val="0"/>
      <w:marRight w:val="0"/>
      <w:marTop w:val="0"/>
      <w:marBottom w:val="0"/>
      <w:divBdr>
        <w:top w:val="none" w:sz="0" w:space="0" w:color="auto"/>
        <w:left w:val="none" w:sz="0" w:space="0" w:color="auto"/>
        <w:bottom w:val="none" w:sz="0" w:space="0" w:color="auto"/>
        <w:right w:val="none" w:sz="0" w:space="0" w:color="auto"/>
      </w:divBdr>
    </w:div>
    <w:div w:id="1375234013">
      <w:bodyDiv w:val="1"/>
      <w:marLeft w:val="0"/>
      <w:marRight w:val="0"/>
      <w:marTop w:val="0"/>
      <w:marBottom w:val="0"/>
      <w:divBdr>
        <w:top w:val="none" w:sz="0" w:space="0" w:color="auto"/>
        <w:left w:val="none" w:sz="0" w:space="0" w:color="auto"/>
        <w:bottom w:val="none" w:sz="0" w:space="0" w:color="auto"/>
        <w:right w:val="none" w:sz="0" w:space="0" w:color="auto"/>
      </w:divBdr>
    </w:div>
    <w:div w:id="1385059485">
      <w:bodyDiv w:val="1"/>
      <w:marLeft w:val="0"/>
      <w:marRight w:val="0"/>
      <w:marTop w:val="0"/>
      <w:marBottom w:val="0"/>
      <w:divBdr>
        <w:top w:val="none" w:sz="0" w:space="0" w:color="auto"/>
        <w:left w:val="none" w:sz="0" w:space="0" w:color="auto"/>
        <w:bottom w:val="none" w:sz="0" w:space="0" w:color="auto"/>
        <w:right w:val="none" w:sz="0" w:space="0" w:color="auto"/>
      </w:divBdr>
    </w:div>
    <w:div w:id="1431661012">
      <w:bodyDiv w:val="1"/>
      <w:marLeft w:val="0"/>
      <w:marRight w:val="0"/>
      <w:marTop w:val="0"/>
      <w:marBottom w:val="0"/>
      <w:divBdr>
        <w:top w:val="none" w:sz="0" w:space="0" w:color="auto"/>
        <w:left w:val="none" w:sz="0" w:space="0" w:color="auto"/>
        <w:bottom w:val="none" w:sz="0" w:space="0" w:color="auto"/>
        <w:right w:val="none" w:sz="0" w:space="0" w:color="auto"/>
      </w:divBdr>
    </w:div>
    <w:div w:id="1460562723">
      <w:bodyDiv w:val="1"/>
      <w:marLeft w:val="0"/>
      <w:marRight w:val="0"/>
      <w:marTop w:val="0"/>
      <w:marBottom w:val="0"/>
      <w:divBdr>
        <w:top w:val="none" w:sz="0" w:space="0" w:color="auto"/>
        <w:left w:val="none" w:sz="0" w:space="0" w:color="auto"/>
        <w:bottom w:val="none" w:sz="0" w:space="0" w:color="auto"/>
        <w:right w:val="none" w:sz="0" w:space="0" w:color="auto"/>
      </w:divBdr>
    </w:div>
    <w:div w:id="1511674147">
      <w:bodyDiv w:val="1"/>
      <w:marLeft w:val="0"/>
      <w:marRight w:val="0"/>
      <w:marTop w:val="0"/>
      <w:marBottom w:val="0"/>
      <w:divBdr>
        <w:top w:val="none" w:sz="0" w:space="0" w:color="auto"/>
        <w:left w:val="none" w:sz="0" w:space="0" w:color="auto"/>
        <w:bottom w:val="none" w:sz="0" w:space="0" w:color="auto"/>
        <w:right w:val="none" w:sz="0" w:space="0" w:color="auto"/>
      </w:divBdr>
    </w:div>
    <w:div w:id="1615554880">
      <w:bodyDiv w:val="1"/>
      <w:marLeft w:val="0"/>
      <w:marRight w:val="0"/>
      <w:marTop w:val="0"/>
      <w:marBottom w:val="0"/>
      <w:divBdr>
        <w:top w:val="none" w:sz="0" w:space="0" w:color="auto"/>
        <w:left w:val="none" w:sz="0" w:space="0" w:color="auto"/>
        <w:bottom w:val="none" w:sz="0" w:space="0" w:color="auto"/>
        <w:right w:val="none" w:sz="0" w:space="0" w:color="auto"/>
      </w:divBdr>
    </w:div>
    <w:div w:id="1653370713">
      <w:bodyDiv w:val="1"/>
      <w:marLeft w:val="0"/>
      <w:marRight w:val="0"/>
      <w:marTop w:val="0"/>
      <w:marBottom w:val="0"/>
      <w:divBdr>
        <w:top w:val="none" w:sz="0" w:space="0" w:color="auto"/>
        <w:left w:val="none" w:sz="0" w:space="0" w:color="auto"/>
        <w:bottom w:val="none" w:sz="0" w:space="0" w:color="auto"/>
        <w:right w:val="none" w:sz="0" w:space="0" w:color="auto"/>
      </w:divBdr>
    </w:div>
    <w:div w:id="1692100329">
      <w:bodyDiv w:val="1"/>
      <w:marLeft w:val="0"/>
      <w:marRight w:val="0"/>
      <w:marTop w:val="0"/>
      <w:marBottom w:val="0"/>
      <w:divBdr>
        <w:top w:val="none" w:sz="0" w:space="0" w:color="auto"/>
        <w:left w:val="none" w:sz="0" w:space="0" w:color="auto"/>
        <w:bottom w:val="none" w:sz="0" w:space="0" w:color="auto"/>
        <w:right w:val="none" w:sz="0" w:space="0" w:color="auto"/>
      </w:divBdr>
    </w:div>
    <w:div w:id="1693414077">
      <w:bodyDiv w:val="1"/>
      <w:marLeft w:val="0"/>
      <w:marRight w:val="0"/>
      <w:marTop w:val="0"/>
      <w:marBottom w:val="0"/>
      <w:divBdr>
        <w:top w:val="none" w:sz="0" w:space="0" w:color="auto"/>
        <w:left w:val="none" w:sz="0" w:space="0" w:color="auto"/>
        <w:bottom w:val="none" w:sz="0" w:space="0" w:color="auto"/>
        <w:right w:val="none" w:sz="0" w:space="0" w:color="auto"/>
      </w:divBdr>
    </w:div>
    <w:div w:id="1698772680">
      <w:bodyDiv w:val="1"/>
      <w:marLeft w:val="0"/>
      <w:marRight w:val="0"/>
      <w:marTop w:val="0"/>
      <w:marBottom w:val="0"/>
      <w:divBdr>
        <w:top w:val="none" w:sz="0" w:space="0" w:color="auto"/>
        <w:left w:val="none" w:sz="0" w:space="0" w:color="auto"/>
        <w:bottom w:val="none" w:sz="0" w:space="0" w:color="auto"/>
        <w:right w:val="none" w:sz="0" w:space="0" w:color="auto"/>
      </w:divBdr>
    </w:div>
    <w:div w:id="1731998058">
      <w:bodyDiv w:val="1"/>
      <w:marLeft w:val="0"/>
      <w:marRight w:val="0"/>
      <w:marTop w:val="0"/>
      <w:marBottom w:val="0"/>
      <w:divBdr>
        <w:top w:val="none" w:sz="0" w:space="0" w:color="auto"/>
        <w:left w:val="none" w:sz="0" w:space="0" w:color="auto"/>
        <w:bottom w:val="none" w:sz="0" w:space="0" w:color="auto"/>
        <w:right w:val="none" w:sz="0" w:space="0" w:color="auto"/>
      </w:divBdr>
    </w:div>
    <w:div w:id="1737164206">
      <w:bodyDiv w:val="1"/>
      <w:marLeft w:val="0"/>
      <w:marRight w:val="0"/>
      <w:marTop w:val="0"/>
      <w:marBottom w:val="0"/>
      <w:divBdr>
        <w:top w:val="none" w:sz="0" w:space="0" w:color="auto"/>
        <w:left w:val="none" w:sz="0" w:space="0" w:color="auto"/>
        <w:bottom w:val="none" w:sz="0" w:space="0" w:color="auto"/>
        <w:right w:val="none" w:sz="0" w:space="0" w:color="auto"/>
      </w:divBdr>
    </w:div>
    <w:div w:id="1759061450">
      <w:bodyDiv w:val="1"/>
      <w:marLeft w:val="0"/>
      <w:marRight w:val="0"/>
      <w:marTop w:val="0"/>
      <w:marBottom w:val="0"/>
      <w:divBdr>
        <w:top w:val="none" w:sz="0" w:space="0" w:color="auto"/>
        <w:left w:val="none" w:sz="0" w:space="0" w:color="auto"/>
        <w:bottom w:val="none" w:sz="0" w:space="0" w:color="auto"/>
        <w:right w:val="none" w:sz="0" w:space="0" w:color="auto"/>
      </w:divBdr>
    </w:div>
    <w:div w:id="1846360400">
      <w:bodyDiv w:val="1"/>
      <w:marLeft w:val="0"/>
      <w:marRight w:val="0"/>
      <w:marTop w:val="0"/>
      <w:marBottom w:val="0"/>
      <w:divBdr>
        <w:top w:val="none" w:sz="0" w:space="0" w:color="auto"/>
        <w:left w:val="none" w:sz="0" w:space="0" w:color="auto"/>
        <w:bottom w:val="none" w:sz="0" w:space="0" w:color="auto"/>
        <w:right w:val="none" w:sz="0" w:space="0" w:color="auto"/>
      </w:divBdr>
    </w:div>
    <w:div w:id="1847399214">
      <w:bodyDiv w:val="1"/>
      <w:marLeft w:val="0"/>
      <w:marRight w:val="0"/>
      <w:marTop w:val="0"/>
      <w:marBottom w:val="0"/>
      <w:divBdr>
        <w:top w:val="none" w:sz="0" w:space="0" w:color="auto"/>
        <w:left w:val="none" w:sz="0" w:space="0" w:color="auto"/>
        <w:bottom w:val="none" w:sz="0" w:space="0" w:color="auto"/>
        <w:right w:val="none" w:sz="0" w:space="0" w:color="auto"/>
      </w:divBdr>
    </w:div>
    <w:div w:id="1855722956">
      <w:bodyDiv w:val="1"/>
      <w:marLeft w:val="0"/>
      <w:marRight w:val="0"/>
      <w:marTop w:val="0"/>
      <w:marBottom w:val="0"/>
      <w:divBdr>
        <w:top w:val="none" w:sz="0" w:space="0" w:color="auto"/>
        <w:left w:val="none" w:sz="0" w:space="0" w:color="auto"/>
        <w:bottom w:val="none" w:sz="0" w:space="0" w:color="auto"/>
        <w:right w:val="none" w:sz="0" w:space="0" w:color="auto"/>
      </w:divBdr>
    </w:div>
    <w:div w:id="1857308387">
      <w:bodyDiv w:val="1"/>
      <w:marLeft w:val="0"/>
      <w:marRight w:val="0"/>
      <w:marTop w:val="0"/>
      <w:marBottom w:val="0"/>
      <w:divBdr>
        <w:top w:val="none" w:sz="0" w:space="0" w:color="auto"/>
        <w:left w:val="none" w:sz="0" w:space="0" w:color="auto"/>
        <w:bottom w:val="none" w:sz="0" w:space="0" w:color="auto"/>
        <w:right w:val="none" w:sz="0" w:space="0" w:color="auto"/>
      </w:divBdr>
    </w:div>
    <w:div w:id="19738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X">
      <a:dk1>
        <a:sysClr val="windowText" lastClr="000000"/>
      </a:dk1>
      <a:lt1>
        <a:sysClr val="window" lastClr="FFFFFF"/>
      </a:lt1>
      <a:dk2>
        <a:srgbClr val="000000"/>
      </a:dk2>
      <a:lt2>
        <a:srgbClr val="FFFFFF"/>
      </a:lt2>
      <a:accent1>
        <a:srgbClr val="0C3B6C"/>
      </a:accent1>
      <a:accent2>
        <a:srgbClr val="009FDF"/>
      </a:accent2>
      <a:accent3>
        <a:srgbClr val="215EAC"/>
      </a:accent3>
      <a:accent4>
        <a:srgbClr val="8AA3BA"/>
      </a:accent4>
      <a:accent5>
        <a:srgbClr val="00A68F"/>
      </a:accent5>
      <a:accent6>
        <a:srgbClr val="38B24A"/>
      </a:accent6>
      <a:hlink>
        <a:srgbClr val="FFC74A"/>
      </a:hlink>
      <a:folHlink>
        <a:srgbClr val="EF4338"/>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R20210000232090</RecordNumber>
    <SenateOrder12 xmlns="da7a9ac0-bc47-4684-84e6-3a8e9ac80c12">false</SenateOrder12>
    <o78d72b511834a139b6b78f55d99bac2 xmlns="da7a9ac0-bc47-4684-84e6-3a8e9ac80c12" xsi:nil="true"/>
    <a72fa5f85dff4967abb2b14777f17e73 xmlns="30411915-e193-452e-813d-f9a7957e1542">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6eccc17f-024b-41b0-b6b1-faf98d2aff85</TermId>
        </TermInfo>
      </Terms>
    </a72fa5f85dff4967abb2b14777f17e73>
    <SignificantReason xmlns="da7a9ac0-bc47-4684-84e6-3a8e9ac80c12" xsi:nil="true"/>
    <Reviewers xmlns="17f478ab-373e-4295-9ff0-9b833ad01319">
      <UserInfo>
        <DisplayName/>
        <AccountId xsi:nil="true"/>
        <AccountType/>
      </UserInfo>
    </Reviewers>
    <Approvers xmlns="17f478ab-373e-4295-9ff0-9b833ad01319">
      <UserInfo>
        <DisplayName/>
        <AccountId xsi:nil="true"/>
        <AccountType/>
      </UserInfo>
    </Approvers>
    <NotesLinks xmlns="da7a9ac0-bc47-4684-84e6-3a8e9ac80c12" xsi:nil="true"/>
    <TaxCatchAll xmlns="30411915-e193-452e-813d-f9a7957e1542">
      <Value>44</Value>
    </TaxCatchAll>
    <jdadb13979c74777be183785ce571a5f xmlns="30411915-e193-452e-813d-f9a7957e1542">
      <Terms xmlns="http://schemas.microsoft.com/office/infopath/2007/PartnerControls"/>
    </jdadb13979c74777be183785ce571a5f>
    <SignificantFlag xmlns="da7a9ac0-bc47-4684-84e6-3a8e9ac80c12">false</SignificantFlag>
    <ObjectiveID xmlns="da7a9ac0-bc47-4684-84e6-3a8e9ac80c12" xsi:nil="true"/>
    <ded95d7ab059406991d558011d18c177 xmlns="da7a9ac0-bc47-4684-84e6-3a8e9ac80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censees Document" ma:contentTypeID="0x010100B5F685A1365F544391EF8C813B164F3A0B00389EE8851AFD574E937EE3A9F39090A2" ma:contentTypeVersion="19" ma:contentTypeDescription="" ma:contentTypeScope="" ma:versionID="07e4974a0e819e9a9be542e98c8d558a">
  <xsd:schema xmlns:xsd="http://www.w3.org/2001/XMLSchema" xmlns:xs="http://www.w3.org/2001/XMLSchema" xmlns:p="http://schemas.microsoft.com/office/2006/metadata/properties" xmlns:ns2="da7a9ac0-bc47-4684-84e6-3a8e9ac80c12" xmlns:ns3="30411915-e193-452e-813d-f9a7957e1542" xmlns:ns4="17f478ab-373e-4295-9ff0-9b833ad01319" targetNamespace="http://schemas.microsoft.com/office/2006/metadata/properties" ma:root="true" ma:fieldsID="f5810a7a1e8e3e48eb6e3e8733e59c28" ns2:_="" ns3:_="" ns4:_="">
    <xsd:import namespace="da7a9ac0-bc47-4684-84e6-3a8e9ac80c12"/>
    <xsd:import namespace="30411915-e193-452e-813d-f9a7957e1542"/>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o78d72b511834a139b6b78f55d99bac2" minOccurs="0"/>
                <xsd:element ref="ns3:jdadb13979c74777be183785ce571a5f" minOccurs="0"/>
                <xsd:element ref="ns3:a72fa5f85dff4967abb2b14777f17e73" minOccurs="0"/>
                <xsd:element ref="ns2:NotesLinks"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o78d72b511834a139b6b78f55d99bac2" ma:index="17" nillable="true" ma:displayName="CategoryofSupervision_0" ma:hidden="true" ma:internalName="o78d72b511834a139b6b78f55d99bac2" ma:readOnly="false">
      <xsd:simpleType>
        <xsd:restriction base="dms:Note"/>
      </xsd:simpleType>
    </xsd:element>
    <xsd:element name="NotesLinks" ma:index="21"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411915-e193-452e-813d-f9a7957e1542"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01f35da3-2104-4f41-8c23-1911f646ffd2}" ma:internalName="TaxCatchAll" ma:showField="CatchAllData" ma:web="30411915-e193-452e-813d-f9a7957e154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01f35da3-2104-4f41-8c23-1911f646ffd2}" ma:internalName="TaxCatchAllLabel" ma:readOnly="true" ma:showField="CatchAllDataLabel" ma:web="30411915-e193-452e-813d-f9a7957e1542">
      <xsd:complexType>
        <xsd:complexContent>
          <xsd:extension base="dms:MultiChoiceLookup">
            <xsd:sequence>
              <xsd:element name="Value" type="dms:Lookup" maxOccurs="unbounded" minOccurs="0" nillable="true"/>
            </xsd:sequence>
          </xsd:extension>
        </xsd:complexContent>
      </xsd:complexType>
    </xsd:element>
    <xsd:element name="jdadb13979c74777be183785ce571a5f" ma:index="19" nillable="true" ma:taxonomy="true" ma:internalName="jdadb13979c74777be183785ce571a5f" ma:taxonomyFieldName="CategoryofSupervision" ma:displayName="Category of Supervision" ma:readOnly="false" ma:fieldId="{3dadb139-79c7-4777-be18-3785ce571a5f}" ma:sspId="b38671ba-7d76-46f8-b8a5-5fc3a7d6229d" ma:termSetId="6032c076-9df9-4f86-b044-3308ee179eac" ma:anchorId="00000000-0000-0000-0000-000000000000" ma:open="false" ma:isKeyword="false">
      <xsd:complexType>
        <xsd:sequence>
          <xsd:element ref="pc:Terms" minOccurs="0" maxOccurs="1"/>
        </xsd:sequence>
      </xsd:complexType>
    </xsd:element>
    <xsd:element name="a72fa5f85dff4967abb2b14777f17e73" ma:index="20" ma:taxonomy="true" ma:internalName="a72fa5f85dff4967abb2b14777f17e73" ma:taxonomyFieldName="SecurityClassification" ma:displayName="Security Classification" ma:default="-1;#OFFICIAL - Sensitive|6eccc17f-024b-41b0-b6b1-faf98d2aff85" ma:fieldId="{a72fa5f8-5dff-4967-abb2-b14777f17e73}"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2"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3"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D1132C9-7E75-4990-9080-DF2CFF334684}">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17f478ab-373e-4295-9ff0-9b833ad01319"/>
    <ds:schemaRef ds:uri="http://schemas.microsoft.com/office/infopath/2007/PartnerControls"/>
    <ds:schemaRef ds:uri="http://schemas.openxmlformats.org/package/2006/metadata/core-properties"/>
    <ds:schemaRef ds:uri="30411915-e193-452e-813d-f9a7957e1542"/>
    <ds:schemaRef ds:uri="da7a9ac0-bc47-4684-84e6-3a8e9ac80c12"/>
    <ds:schemaRef ds:uri="http://www.w3.org/XML/1998/namespace"/>
  </ds:schemaRefs>
</ds:datastoreItem>
</file>

<file path=customXml/itemProps2.xml><?xml version="1.0" encoding="utf-8"?>
<ds:datastoreItem xmlns:ds="http://schemas.openxmlformats.org/officeDocument/2006/customXml" ds:itemID="{9820C23D-DF1C-4BEB-B259-BBEADDB8C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30411915-e193-452e-813d-f9a7957e154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C5276-A980-4DFE-A316-4E6390120DB4}">
  <ds:schemaRefs>
    <ds:schemaRef ds:uri="http://schemas.microsoft.com/sharepoint/v3/contenttype/forms"/>
  </ds:schemaRefs>
</ds:datastoreItem>
</file>

<file path=customXml/itemProps4.xml><?xml version="1.0" encoding="utf-8"?>
<ds:datastoreItem xmlns:ds="http://schemas.openxmlformats.org/officeDocument/2006/customXml" ds:itemID="{D7111B43-9395-499E-8898-32F5F8CD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7584</Words>
  <Characters>38932</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2022-04-20T08:56:00Z</dcterms:created>
  <dcterms:modified xsi:type="dcterms:W3CDTF">2022-04-21T02:11:00Z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_Name">
    <vt:lpwstr>Person to send comments to</vt:lpwstr>
  </property>
  <property fmtid="{D5CDD505-2E9C-101B-9397-08002B2CF9AE}" pid="3" name="Order">
    <vt:r8>1279200</vt:r8>
  </property>
  <property fmtid="{D5CDD505-2E9C-101B-9397-08002B2CF9AE}" pid="4" name="RecordPoint_SubmissionDate">
    <vt:lpwstr/>
  </property>
  <property fmtid="{D5CDD505-2E9C-101B-9397-08002B2CF9AE}" pid="5" name="Security">
    <vt:lpwstr>SecurityClassification</vt:lpwstr>
  </property>
  <property fmtid="{D5CDD505-2E9C-101B-9397-08002B2CF9AE}" pid="6" name="Cover_Date">
    <vt:lpwstr>Date</vt:lpwstr>
  </property>
  <property fmtid="{D5CDD505-2E9C-101B-9397-08002B2CF9AE}" pid="7" name="CategoryofSupervision">
    <vt:lpwstr/>
  </property>
  <property fmtid="{D5CDD505-2E9C-101B-9397-08002B2CF9AE}" pid="8" name="RecordPoint_RecordNumberSubmitted">
    <vt:lpwstr>R20210000232090</vt:lpwstr>
  </property>
  <property fmtid="{D5CDD505-2E9C-101B-9397-08002B2CF9AE}" pid="9" name="Cover_Title">
    <vt:lpwstr>Title</vt:lpwstr>
  </property>
  <property fmtid="{D5CDD505-2E9C-101B-9397-08002B2CF9AE}" pid="10" name="Comments_Email">
    <vt:lpwstr>Email to send comments to</vt:lpwstr>
  </property>
  <property fmtid="{D5CDD505-2E9C-101B-9397-08002B2CF9AE}" pid="11" name="ContentTypeId">
    <vt:lpwstr>0x010100B5F685A1365F544391EF8C813B164F3A0B00389EE8851AFD574E937EE3A9F39090A2</vt:lpwstr>
  </property>
  <property fmtid="{D5CDD505-2E9C-101B-9397-08002B2CF9AE}" pid="12" name="SecurityClassification">
    <vt:lpwstr>44;#OFFICIAL - Sensitive|6eccc17f-024b-41b0-b6b1-faf98d2aff85</vt:lpwstr>
  </property>
  <property fmtid="{D5CDD505-2E9C-101B-9397-08002B2CF9AE}" pid="13" name="RecordPoint_ActiveItemWebId">
    <vt:lpwstr>{30411915-e193-452e-813d-f9a7957e1542}</vt:lpwstr>
  </property>
  <property fmtid="{D5CDD505-2E9C-101B-9397-08002B2CF9AE}" pid="14" name="PreparedFor">
    <vt:lpwstr>Prepared for</vt:lpwstr>
  </property>
  <property fmtid="{D5CDD505-2E9C-101B-9397-08002B2CF9AE}" pid="15" name="RecordPoint_WorkflowType">
    <vt:lpwstr>ActiveSubmitStub</vt:lpwstr>
  </property>
  <property fmtid="{D5CDD505-2E9C-101B-9397-08002B2CF9AE}" pid="16" name="RecordPoint_ActiveItemSiteId">
    <vt:lpwstr>{4e2804ae-3fdc-4bd5-98f7-e88d420eda69}</vt:lpwstr>
  </property>
  <property fmtid="{D5CDD505-2E9C-101B-9397-08002B2CF9AE}" pid="17" name="RecordPoint_ActiveItemListId">
    <vt:lpwstr>{4d12d3c3-08cf-46cb-8e07-383a2b92c4ee}</vt:lpwstr>
  </property>
  <property fmtid="{D5CDD505-2E9C-101B-9397-08002B2CF9AE}" pid="18" name="RecordPoint_ActiveItemUniqueId">
    <vt:lpwstr>{4f4c5fb8-f5e6-4d48-9227-fd00c21eed60}</vt:lpwstr>
  </property>
  <property fmtid="{D5CDD505-2E9C-101B-9397-08002B2CF9AE}" pid="19" name="RecordPoint_RecordFormat">
    <vt:lpwstr/>
  </property>
  <property fmtid="{D5CDD505-2E9C-101B-9397-08002B2CF9AE}" pid="20" name="RecordPoint_SubmissionCompleted">
    <vt:lpwstr>2021-03-25T17:29:00.1270144+11:00</vt:lpwstr>
  </property>
  <property fmtid="{D5CDD505-2E9C-101B-9397-08002B2CF9AE}" pid="21" name="Cover_Subtitle">
    <vt:lpwstr>Subtitle</vt:lpwstr>
  </property>
  <property fmtid="{D5CDD505-2E9C-101B-9397-08002B2CF9AE}" pid="22" name="VersionNo">
    <vt:lpwstr>Version number</vt:lpwstr>
  </property>
  <property fmtid="{D5CDD505-2E9C-101B-9397-08002B2CF9AE}" pid="23" name="Comments_Date">
    <vt:lpwstr>Date comments due</vt:lpwstr>
  </property>
</Properties>
</file>